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6F1" w:rsidRDefault="00CB29F6">
      <w:pPr>
        <w:jc w:val="center"/>
      </w:pPr>
      <w:r>
        <w:rPr>
          <w:noProof/>
        </w:rPr>
        <w:drawing>
          <wp:inline distT="0" distB="0" distL="0" distR="0">
            <wp:extent cx="946150" cy="1265555"/>
            <wp:effectExtent l="1905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946150" cy="1265555"/>
                    </a:xfrm>
                    <a:prstGeom prst="rect">
                      <a:avLst/>
                    </a:prstGeom>
                    <a:noFill/>
                    <a:ln w="9525">
                      <a:noFill/>
                      <a:miter lim="800000"/>
                      <a:headEnd/>
                      <a:tailEnd/>
                    </a:ln>
                  </pic:spPr>
                </pic:pic>
              </a:graphicData>
            </a:graphic>
          </wp:inline>
        </w:drawing>
      </w:r>
    </w:p>
    <w:p w:rsidR="003916F1" w:rsidRDefault="003916F1">
      <w:pPr>
        <w:pStyle w:val="Caption"/>
        <w:rPr>
          <w:sz w:val="48"/>
          <w:szCs w:val="48"/>
        </w:rPr>
      </w:pPr>
      <w:r>
        <w:rPr>
          <w:sz w:val="48"/>
          <w:szCs w:val="48"/>
        </w:rPr>
        <w:t xml:space="preserve">Palestinian National Authority </w:t>
      </w:r>
    </w:p>
    <w:p w:rsidR="003916F1" w:rsidRDefault="003916F1">
      <w:pPr>
        <w:pStyle w:val="Caption"/>
        <w:rPr>
          <w:szCs w:val="52"/>
        </w:rPr>
      </w:pPr>
      <w:r>
        <w:rPr>
          <w:szCs w:val="52"/>
        </w:rPr>
        <w:t>Palestinian Central Bureau of Statistics</w:t>
      </w: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tl/>
          <w:lang w:val="en-GB"/>
        </w:rPr>
      </w:pPr>
    </w:p>
    <w:p w:rsidR="003916F1" w:rsidRDefault="003916F1">
      <w:pPr>
        <w:ind w:right="368" w:firstLine="284"/>
        <w:jc w:val="center"/>
        <w:rPr>
          <w:b/>
          <w:bCs/>
          <w:sz w:val="28"/>
          <w:szCs w:val="28"/>
          <w:rtl/>
          <w:lang w:val="en-GB"/>
        </w:rPr>
      </w:pPr>
    </w:p>
    <w:p w:rsidR="003916F1" w:rsidRDefault="003916F1">
      <w:pPr>
        <w:ind w:right="368" w:firstLine="284"/>
        <w:jc w:val="center"/>
        <w:rPr>
          <w:b/>
          <w:bCs/>
          <w:sz w:val="28"/>
          <w:szCs w:val="28"/>
        </w:rPr>
      </w:pPr>
    </w:p>
    <w:p w:rsidR="003916F1" w:rsidRDefault="003916F1">
      <w:pPr>
        <w:pStyle w:val="BodyText"/>
        <w:jc w:val="center"/>
        <w:rPr>
          <w:b/>
          <w:bCs/>
          <w:sz w:val="40"/>
          <w:szCs w:val="40"/>
        </w:rPr>
      </w:pPr>
      <w:r>
        <w:rPr>
          <w:b/>
          <w:bCs/>
          <w:sz w:val="40"/>
          <w:szCs w:val="40"/>
        </w:rPr>
        <w:t>Israeli Settlements in the Palestinian Territory</w:t>
      </w:r>
    </w:p>
    <w:p w:rsidR="003916F1" w:rsidRDefault="003916F1" w:rsidP="00BE4FF5">
      <w:pPr>
        <w:pStyle w:val="BodyText"/>
        <w:jc w:val="center"/>
        <w:rPr>
          <w:b/>
          <w:bCs/>
          <w:sz w:val="36"/>
          <w:szCs w:val="36"/>
        </w:rPr>
      </w:pPr>
      <w:r>
        <w:rPr>
          <w:b/>
          <w:bCs/>
          <w:sz w:val="40"/>
          <w:szCs w:val="40"/>
        </w:rPr>
        <w:t xml:space="preserve">Annual Statistical Report </w:t>
      </w:r>
      <w:r>
        <w:rPr>
          <w:rFonts w:hint="cs"/>
          <w:b/>
          <w:bCs/>
          <w:sz w:val="40"/>
          <w:szCs w:val="40"/>
          <w:rtl/>
          <w:lang w:val="en-GB"/>
        </w:rPr>
        <w:t>20</w:t>
      </w:r>
      <w:r w:rsidR="00BE4FF5">
        <w:rPr>
          <w:rFonts w:hint="cs"/>
          <w:b/>
          <w:bCs/>
          <w:sz w:val="40"/>
          <w:szCs w:val="40"/>
          <w:rtl/>
          <w:lang w:val="en-GB"/>
        </w:rPr>
        <w:t>10</w:t>
      </w: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07030C" w:rsidRDefault="003916F1" w:rsidP="00BE4FF5">
      <w:pPr>
        <w:jc w:val="center"/>
        <w:rPr>
          <w:b/>
          <w:bCs/>
          <w:sz w:val="28"/>
          <w:szCs w:val="28"/>
          <w:rtl/>
        </w:rPr>
        <w:sectPr w:rsidR="0007030C" w:rsidSect="00392CA9">
          <w:pgSz w:w="11909" w:h="16834" w:code="9"/>
          <w:pgMar w:top="1418" w:right="1418" w:bottom="1418" w:left="1418" w:header="720" w:footer="720" w:gutter="0"/>
          <w:pgNumType w:start="25"/>
          <w:cols w:space="720"/>
          <w:bidi/>
          <w:rtlGutter/>
        </w:sectPr>
      </w:pPr>
      <w:r>
        <w:rPr>
          <w:b/>
          <w:bCs/>
          <w:sz w:val="28"/>
          <w:szCs w:val="28"/>
        </w:rPr>
        <w:t>August, 201</w:t>
      </w:r>
      <w:r w:rsidR="00BE4FF5">
        <w:rPr>
          <w:rFonts w:hint="cs"/>
          <w:b/>
          <w:bCs/>
          <w:sz w:val="28"/>
          <w:szCs w:val="28"/>
          <w:rtl/>
        </w:rPr>
        <w:t>1</w:t>
      </w:r>
    </w:p>
    <w:p w:rsidR="003916F1" w:rsidRPr="00A078D4" w:rsidRDefault="003916F1">
      <w:pPr>
        <w:pStyle w:val="BodyText2"/>
        <w:jc w:val="lowKashida"/>
      </w:pPr>
      <w:r w:rsidRPr="00A078D4">
        <w:lastRenderedPageBreak/>
        <w:t>PAGE NUMBERS OF ENGLISH TEXT ARE PRINTED IN SQUARE BRACKETS.</w:t>
      </w:r>
    </w:p>
    <w:p w:rsidR="003916F1" w:rsidRPr="00A078D4" w:rsidRDefault="003916F1">
      <w:pPr>
        <w:jc w:val="lowKashida"/>
        <w:rPr>
          <w:sz w:val="24"/>
          <w:szCs w:val="24"/>
        </w:rPr>
      </w:pPr>
      <w:r w:rsidRPr="00A078D4">
        <w:rPr>
          <w:sz w:val="24"/>
          <w:szCs w:val="24"/>
        </w:rPr>
        <w:t>TABLES ARE PRINTED IN THE ARABIC ORDER (FROM RIGHT TO LEFT)</w:t>
      </w:r>
    </w:p>
    <w:p w:rsidR="003916F1" w:rsidRDefault="00583DF6">
      <w:pPr>
        <w:rPr>
          <w:sz w:val="24"/>
          <w:szCs w:val="24"/>
          <w:rtl/>
          <w:lang w:val="en-GB"/>
        </w:rPr>
      </w:pPr>
      <w:r w:rsidRPr="00583DF6">
        <w:rPr>
          <w:noProof/>
          <w:szCs w:val="24"/>
          <w:rtl/>
          <w:lang w:val="ar-SA" w:eastAsia="ar-SA"/>
        </w:rPr>
        <w:pict>
          <v:shapetype id="_x0000_t202" coordsize="21600,21600" o:spt="202" path="m,l,21600r21600,l21600,xe">
            <v:stroke joinstyle="miter"/>
            <v:path gradientshapeok="t" o:connecttype="rect"/>
          </v:shapetype>
          <v:shape id="_x0000_s1026" type="#_x0000_t202" style="position:absolute;margin-left:9pt;margin-top:73.7pt;width:423pt;height:63pt;z-index:251655680" strokeweight="6pt">
            <v:stroke linestyle="thickBetweenThin"/>
            <v:textbox style="mso-next-textbox:#_x0000_s1026">
              <w:txbxContent>
                <w:p w:rsidR="003916F1" w:rsidRDefault="003916F1">
                  <w:pPr>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rPr>
          <w:rFonts w:cs="Simplified Arabic"/>
          <w:rtl/>
          <w:lang w:val="en-GB"/>
        </w:rPr>
      </w:pPr>
    </w:p>
    <w:p w:rsidR="003916F1" w:rsidRDefault="003916F1">
      <w:pPr>
        <w:jc w:val="lowKashida"/>
        <w:rPr>
          <w:rFonts w:cs="Times New Roman"/>
          <w:sz w:val="16"/>
          <w:szCs w:val="16"/>
        </w:rPr>
      </w:pPr>
    </w:p>
    <w:p w:rsidR="003916F1" w:rsidRDefault="003916F1">
      <w:pPr>
        <w:pStyle w:val="Heading8"/>
        <w:jc w:val="center"/>
        <w:rPr>
          <w:sz w:val="28"/>
        </w:rPr>
      </w:pPr>
    </w:p>
    <w:p w:rsidR="003916F1" w:rsidRDefault="003916F1">
      <w:pPr>
        <w:pStyle w:val="Heading8"/>
        <w:jc w:val="center"/>
        <w:rPr>
          <w:sz w:val="28"/>
        </w:rPr>
      </w:pPr>
    </w:p>
    <w:p w:rsidR="003916F1" w:rsidRDefault="003916F1">
      <w:pPr>
        <w:pStyle w:val="Heading8"/>
        <w:jc w:val="center"/>
        <w:rPr>
          <w:sz w:val="28"/>
        </w:rPr>
      </w:pPr>
    </w:p>
    <w:p w:rsidR="003916F1" w:rsidRDefault="003916F1">
      <w:pPr>
        <w:pStyle w:val="Heading8"/>
        <w:jc w:val="center"/>
        <w:rPr>
          <w:sz w:val="28"/>
        </w:rPr>
      </w:pPr>
    </w:p>
    <w:p w:rsidR="003916F1" w:rsidRDefault="003916F1">
      <w:pPr>
        <w:pStyle w:val="Heading8"/>
        <w:jc w:val="center"/>
        <w:rPr>
          <w:sz w:val="28"/>
        </w:rPr>
      </w:pPr>
    </w:p>
    <w:p w:rsidR="003916F1" w:rsidRDefault="003916F1">
      <w:pPr>
        <w:pStyle w:val="Heading8"/>
        <w:jc w:val="center"/>
        <w:rPr>
          <w:sz w:val="28"/>
        </w:rPr>
      </w:pPr>
    </w:p>
    <w:p w:rsidR="003916F1" w:rsidRDefault="003916F1">
      <w:pPr>
        <w:pStyle w:val="Heading8"/>
        <w:jc w:val="center"/>
        <w:rPr>
          <w:sz w:val="28"/>
          <w:rtl/>
          <w:lang w:val="en-GB"/>
        </w:rPr>
      </w:pPr>
    </w:p>
    <w:p w:rsidR="003916F1" w:rsidRDefault="003916F1">
      <w:pPr>
        <w:rPr>
          <w:rtl/>
          <w:lang w:val="en-GB"/>
        </w:rPr>
      </w:pPr>
    </w:p>
    <w:p w:rsidR="003916F1" w:rsidRDefault="003916F1">
      <w:pPr>
        <w:rPr>
          <w:rtl/>
          <w:lang w:val="en-GB"/>
        </w:rPr>
      </w:pPr>
    </w:p>
    <w:p w:rsidR="003916F1" w:rsidRDefault="003916F1">
      <w:pPr>
        <w:rPr>
          <w:lang w:val="en-GB"/>
        </w:rPr>
      </w:pPr>
    </w:p>
    <w:p w:rsidR="003916F1" w:rsidRDefault="003916F1">
      <w:pPr>
        <w:rPr>
          <w:lang w:val="en-GB"/>
        </w:rPr>
      </w:pPr>
    </w:p>
    <w:p w:rsidR="003916F1" w:rsidRDefault="003916F1">
      <w:pPr>
        <w:rPr>
          <w:lang w:val="en-GB"/>
        </w:rPr>
      </w:pPr>
    </w:p>
    <w:p w:rsidR="003916F1" w:rsidRDefault="003916F1">
      <w:pPr>
        <w:rPr>
          <w:rtl/>
          <w:lang w:val="en-GB"/>
        </w:rPr>
      </w:pPr>
    </w:p>
    <w:p w:rsidR="003916F1" w:rsidRDefault="003916F1">
      <w:pPr>
        <w:rPr>
          <w:lang w:val="en-GB"/>
        </w:rPr>
      </w:pPr>
    </w:p>
    <w:p w:rsidR="00994C77" w:rsidRDefault="00994C77">
      <w:pPr>
        <w:rPr>
          <w:rtl/>
          <w:lang w:val="en-GB"/>
        </w:rPr>
      </w:pPr>
    </w:p>
    <w:p w:rsidR="003916F1" w:rsidRDefault="003916F1" w:rsidP="00BE4FF5">
      <w:pPr>
        <w:pStyle w:val="Heading8"/>
        <w:rPr>
          <w:sz w:val="28"/>
        </w:rPr>
      </w:pPr>
    </w:p>
    <w:p w:rsidR="003916F1" w:rsidRDefault="003916F1">
      <w:pPr>
        <w:pStyle w:val="BodyText"/>
        <w:rPr>
          <w:sz w:val="20"/>
          <w:szCs w:val="20"/>
        </w:rPr>
      </w:pPr>
      <w:r>
        <w:rPr>
          <w:sz w:val="20"/>
          <w:szCs w:val="20"/>
        </w:rPr>
        <w:sym w:font="Symbol" w:char="F0E3"/>
      </w:r>
      <w:r>
        <w:rPr>
          <w:sz w:val="20"/>
          <w:szCs w:val="20"/>
        </w:rPr>
        <w:t xml:space="preserve"> August , 2</w:t>
      </w:r>
      <w:r w:rsidR="00BE4FF5">
        <w:rPr>
          <w:rFonts w:hint="cs"/>
          <w:sz w:val="20"/>
          <w:szCs w:val="20"/>
          <w:rtl/>
          <w:lang w:val="en-GB"/>
        </w:rPr>
        <w:t>011</w:t>
      </w:r>
    </w:p>
    <w:p w:rsidR="003916F1" w:rsidRDefault="003916F1">
      <w:pPr>
        <w:pStyle w:val="BodyText"/>
        <w:rPr>
          <w:b/>
          <w:bCs/>
          <w:sz w:val="20"/>
          <w:szCs w:val="20"/>
        </w:rPr>
      </w:pPr>
      <w:r>
        <w:rPr>
          <w:b/>
          <w:bCs/>
          <w:sz w:val="20"/>
          <w:szCs w:val="20"/>
        </w:rPr>
        <w:t>All rights reserved.</w:t>
      </w:r>
    </w:p>
    <w:p w:rsidR="003916F1" w:rsidRDefault="003916F1">
      <w:pPr>
        <w:pStyle w:val="BodyText"/>
        <w:rPr>
          <w:b/>
          <w:bCs/>
          <w:sz w:val="20"/>
          <w:szCs w:val="20"/>
        </w:rPr>
      </w:pPr>
    </w:p>
    <w:p w:rsidR="003916F1" w:rsidRDefault="003916F1">
      <w:pPr>
        <w:pStyle w:val="BodyText"/>
        <w:rPr>
          <w:b/>
          <w:bCs/>
          <w:sz w:val="20"/>
          <w:szCs w:val="20"/>
        </w:rPr>
      </w:pPr>
      <w:r>
        <w:rPr>
          <w:b/>
          <w:bCs/>
          <w:sz w:val="20"/>
          <w:szCs w:val="20"/>
        </w:rPr>
        <w:t>Suggested Citation:</w:t>
      </w:r>
    </w:p>
    <w:p w:rsidR="003916F1" w:rsidRDefault="003916F1">
      <w:pPr>
        <w:pStyle w:val="BodyText"/>
        <w:rPr>
          <w:sz w:val="20"/>
          <w:szCs w:val="20"/>
        </w:rPr>
      </w:pPr>
    </w:p>
    <w:p w:rsidR="003916F1" w:rsidRDefault="003916F1">
      <w:pPr>
        <w:pStyle w:val="BodyText"/>
        <w:rPr>
          <w:i/>
          <w:iCs/>
          <w:szCs w:val="24"/>
        </w:rPr>
      </w:pPr>
      <w:r>
        <w:rPr>
          <w:b/>
          <w:bCs/>
          <w:szCs w:val="24"/>
        </w:rPr>
        <w:t>Palestinian Ce</w:t>
      </w:r>
      <w:r w:rsidR="00BE4FF5">
        <w:rPr>
          <w:b/>
          <w:bCs/>
          <w:szCs w:val="24"/>
        </w:rPr>
        <w:t>ntral Bureau of Statistics, 2011</w:t>
      </w:r>
      <w:r>
        <w:rPr>
          <w:b/>
          <w:bCs/>
          <w:szCs w:val="24"/>
        </w:rPr>
        <w:t>.</w:t>
      </w:r>
      <w:r>
        <w:rPr>
          <w:szCs w:val="24"/>
        </w:rPr>
        <w:t xml:space="preserve">  </w:t>
      </w:r>
      <w:r>
        <w:rPr>
          <w:i/>
          <w:iCs/>
          <w:szCs w:val="24"/>
        </w:rPr>
        <w:t>Israeli Settlements in the</w:t>
      </w:r>
      <w:r>
        <w:rPr>
          <w:b/>
          <w:bCs/>
          <w:szCs w:val="24"/>
        </w:rPr>
        <w:t xml:space="preserve"> </w:t>
      </w:r>
      <w:r>
        <w:rPr>
          <w:i/>
          <w:iCs/>
          <w:szCs w:val="24"/>
        </w:rPr>
        <w:t xml:space="preserve">Palestinian Territory, Annual Statistical Report </w:t>
      </w:r>
      <w:r w:rsidR="00BE4FF5">
        <w:rPr>
          <w:rFonts w:hint="cs"/>
          <w:i/>
          <w:iCs/>
          <w:szCs w:val="24"/>
          <w:rtl/>
        </w:rPr>
        <w:t>2010</w:t>
      </w:r>
      <w:r>
        <w:rPr>
          <w:i/>
          <w:iCs/>
          <w:szCs w:val="24"/>
        </w:rPr>
        <w:t>.</w:t>
      </w:r>
      <w:r>
        <w:rPr>
          <w:i/>
          <w:iCs/>
        </w:rPr>
        <w:t xml:space="preserve"> Ramallah- Palestine</w:t>
      </w:r>
    </w:p>
    <w:p w:rsidR="003916F1" w:rsidRDefault="003916F1">
      <w:pPr>
        <w:pStyle w:val="BodyText"/>
        <w:jc w:val="left"/>
        <w:rPr>
          <w:i/>
          <w:iCs/>
        </w:rPr>
      </w:pPr>
    </w:p>
    <w:p w:rsidR="00BE4FF5" w:rsidRDefault="00BE4FF5" w:rsidP="00BE4FF5">
      <w:pPr>
        <w:rPr>
          <w:rFonts w:cs="Times New Roman"/>
        </w:rPr>
      </w:pPr>
      <w:r>
        <w:rPr>
          <w:rFonts w:cs="Times New Roman"/>
        </w:rPr>
        <w:t>All correspondences should be directed to:</w:t>
      </w:r>
    </w:p>
    <w:p w:rsidR="00BE4FF5" w:rsidRDefault="00BE4FF5" w:rsidP="00BE4FF5">
      <w:pPr>
        <w:rPr>
          <w:rFonts w:cs="Times New Roman"/>
          <w:b/>
          <w:bCs/>
        </w:rPr>
      </w:pPr>
      <w:r>
        <w:rPr>
          <w:rFonts w:cs="Times New Roman"/>
          <w:b/>
          <w:bCs/>
        </w:rPr>
        <w:t>Palestinian Central Bureau of Statistics</w:t>
      </w:r>
    </w:p>
    <w:p w:rsidR="00BE4FF5" w:rsidRDefault="00BE4FF5" w:rsidP="00BE4FF5">
      <w:pPr>
        <w:rPr>
          <w:rFonts w:cs="Times New Roman"/>
          <w:b/>
          <w:bCs/>
        </w:rPr>
      </w:pPr>
      <w:proofErr w:type="spellStart"/>
      <w:r>
        <w:rPr>
          <w:rFonts w:cs="Times New Roman"/>
          <w:b/>
          <w:bCs/>
        </w:rPr>
        <w:t>P.O.Box</w:t>
      </w:r>
      <w:proofErr w:type="spellEnd"/>
      <w:r>
        <w:rPr>
          <w:rFonts w:cs="Times New Roman"/>
          <w:b/>
          <w:bCs/>
        </w:rPr>
        <w:t xml:space="preserve"> 1647 Ramallah, Palestine.</w:t>
      </w:r>
    </w:p>
    <w:p w:rsidR="00BE4FF5" w:rsidRDefault="00BE4FF5" w:rsidP="00BE4FF5">
      <w:pPr>
        <w:rPr>
          <w:rFonts w:cs="Times New Roman"/>
          <w:b/>
          <w:bCs/>
        </w:rPr>
      </w:pPr>
    </w:p>
    <w:p w:rsidR="00BE4FF5" w:rsidRDefault="00BE4FF5" w:rsidP="00BE4FF5">
      <w:pPr>
        <w:rPr>
          <w:rFonts w:cs="Times New Roman"/>
        </w:rPr>
      </w:pPr>
      <w:r>
        <w:rPr>
          <w:rFonts w:cs="Times New Roman"/>
        </w:rPr>
        <w:t xml:space="preserve">Tel: (972/970) </w:t>
      </w:r>
      <w:r>
        <w:rPr>
          <w:rFonts w:cs="Times New Roman" w:hint="cs"/>
          <w:rtl/>
          <w:lang w:val="en-GB"/>
        </w:rPr>
        <w:t xml:space="preserve">2 </w:t>
      </w:r>
      <w:proofErr w:type="spellStart"/>
      <w:r>
        <w:rPr>
          <w:rFonts w:cs="Times New Roman"/>
          <w:rtl/>
          <w:lang w:val="en-GB"/>
        </w:rPr>
        <w:t>2</w:t>
      </w:r>
      <w:proofErr w:type="spellEnd"/>
      <w:r>
        <w:rPr>
          <w:rFonts w:cs="Times New Roman"/>
        </w:rPr>
        <w:t>98 2700</w:t>
      </w:r>
    </w:p>
    <w:p w:rsidR="00BE4FF5" w:rsidRDefault="00BE4FF5" w:rsidP="00BE4FF5">
      <w:pPr>
        <w:rPr>
          <w:rFonts w:cs="Times New Roman"/>
        </w:rPr>
      </w:pPr>
      <w:r>
        <w:rPr>
          <w:rFonts w:cs="Times New Roman"/>
        </w:rPr>
        <w:t>Fax: (972/970) 2 298 2710</w:t>
      </w:r>
    </w:p>
    <w:p w:rsidR="00BE4FF5" w:rsidRDefault="00BE4FF5" w:rsidP="00BE4FF5">
      <w:pPr>
        <w:rPr>
          <w:rFonts w:cs="Times New Roman"/>
        </w:rPr>
      </w:pPr>
      <w:r>
        <w:rPr>
          <w:rFonts w:cs="Times New Roman"/>
        </w:rPr>
        <w:t>Toll Free: 1800300300</w:t>
      </w:r>
    </w:p>
    <w:p w:rsidR="00BE4FF5" w:rsidRDefault="00BE4FF5" w:rsidP="00BE4FF5">
      <w:pPr>
        <w:rPr>
          <w:rFonts w:cs="Times New Roman"/>
        </w:rPr>
      </w:pPr>
      <w:r>
        <w:rPr>
          <w:rFonts w:cs="Times New Roman"/>
        </w:rPr>
        <w:t xml:space="preserve">E-Mail: </w:t>
      </w:r>
      <w:hyperlink r:id="rId9" w:history="1">
        <w:r>
          <w:rPr>
            <w:rStyle w:val="Hyperlink"/>
            <w:rFonts w:cs="Times New Roman"/>
          </w:rPr>
          <w:t>diwan@pcbs.gov.ps</w:t>
        </w:r>
      </w:hyperlink>
    </w:p>
    <w:p w:rsidR="00BE4FF5" w:rsidRDefault="00BE4FF5" w:rsidP="00BE4FF5">
      <w:pPr>
        <w:rPr>
          <w:rFonts w:cs="Times New Roman"/>
        </w:rPr>
      </w:pPr>
      <w:r>
        <w:rPr>
          <w:rFonts w:cs="Times New Roman"/>
        </w:rPr>
        <w:t xml:space="preserve">web-site:  </w:t>
      </w:r>
      <w:hyperlink r:id="rId10" w:history="1">
        <w:r>
          <w:rPr>
            <w:rStyle w:val="Hyperlink"/>
            <w:rFonts w:cs="Times New Roman"/>
          </w:rPr>
          <w:t>http://www.pcbs.gov.ps</w:t>
        </w:r>
      </w:hyperlink>
    </w:p>
    <w:p w:rsidR="00BE4FF5" w:rsidRPr="00310B19" w:rsidRDefault="00BE4FF5" w:rsidP="00BE4FF5">
      <w:pPr>
        <w:rPr>
          <w:rtl/>
        </w:rPr>
      </w:pPr>
    </w:p>
    <w:p w:rsidR="00A078D4" w:rsidRDefault="00A078D4">
      <w:pPr>
        <w:rPr>
          <w:b/>
          <w:bCs/>
          <w:sz w:val="28"/>
          <w:szCs w:val="28"/>
        </w:rPr>
      </w:pPr>
      <w:r>
        <w:rPr>
          <w:b/>
          <w:bCs/>
          <w:sz w:val="28"/>
          <w:szCs w:val="28"/>
        </w:rPr>
        <w:br w:type="page"/>
      </w:r>
    </w:p>
    <w:p w:rsidR="003916F1" w:rsidRDefault="003916F1">
      <w:pPr>
        <w:jc w:val="center"/>
        <w:rPr>
          <w:b/>
          <w:bCs/>
          <w:sz w:val="28"/>
          <w:szCs w:val="28"/>
        </w:rPr>
      </w:pPr>
      <w:r>
        <w:rPr>
          <w:b/>
          <w:bCs/>
          <w:sz w:val="28"/>
          <w:szCs w:val="28"/>
        </w:rPr>
        <w:lastRenderedPageBreak/>
        <w:t>Acknowledgments</w:t>
      </w:r>
    </w:p>
    <w:p w:rsidR="003916F1" w:rsidRDefault="003916F1">
      <w:pPr>
        <w:tabs>
          <w:tab w:val="left" w:pos="4395"/>
        </w:tabs>
        <w:ind w:left="993" w:right="1133"/>
        <w:jc w:val="center"/>
      </w:pPr>
    </w:p>
    <w:p w:rsidR="008B113C" w:rsidRDefault="008B113C" w:rsidP="008B113C">
      <w:pPr>
        <w:jc w:val="lowKashida"/>
        <w:rPr>
          <w:b/>
          <w:bCs/>
          <w:sz w:val="24"/>
          <w:szCs w:val="24"/>
        </w:rPr>
      </w:pPr>
      <w:r>
        <w:rPr>
          <w:b/>
          <w:bCs/>
          <w:sz w:val="24"/>
          <w:szCs w:val="24"/>
        </w:rPr>
        <w:t>The Palestinian Central Bureau of Statistics (PCBS) would like to thank all the Palestinian organizations that cooperated in the preparation of this report and appreciates their assistance in bring this report to publication.</w:t>
      </w:r>
    </w:p>
    <w:p w:rsidR="008B113C" w:rsidRDefault="008B113C" w:rsidP="008B113C">
      <w:pPr>
        <w:jc w:val="lowKashida"/>
        <w:rPr>
          <w:b/>
          <w:bCs/>
          <w:sz w:val="24"/>
          <w:szCs w:val="24"/>
        </w:rPr>
      </w:pPr>
    </w:p>
    <w:p w:rsidR="008B113C" w:rsidRDefault="008B113C" w:rsidP="008B113C">
      <w:pPr>
        <w:jc w:val="lowKashida"/>
        <w:rPr>
          <w:b/>
          <w:bCs/>
          <w:sz w:val="24"/>
          <w:szCs w:val="24"/>
        </w:rPr>
      </w:pPr>
      <w:r>
        <w:rPr>
          <w:b/>
          <w:bCs/>
          <w:sz w:val="24"/>
          <w:szCs w:val="24"/>
        </w:rPr>
        <w:t>The Israeli Settlements in the Palestinian Territory Report of 2010 was prepared by a technical team from PCBS with joint funding from the Palestinian National Authority (PNA) and the Core Funding Group (CFG) for 2011, represented by the Representative Office of Norway to the PNA and the Swiss Development and Cooperation Agency (SDC).</w:t>
      </w:r>
    </w:p>
    <w:p w:rsidR="008B113C" w:rsidRDefault="008B113C" w:rsidP="008B113C">
      <w:pPr>
        <w:jc w:val="lowKashida"/>
        <w:rPr>
          <w:b/>
          <w:bCs/>
          <w:sz w:val="24"/>
          <w:szCs w:val="24"/>
        </w:rPr>
      </w:pPr>
    </w:p>
    <w:p w:rsidR="008B113C" w:rsidRDefault="008B113C" w:rsidP="008B113C">
      <w:pPr>
        <w:jc w:val="lowKashida"/>
        <w:rPr>
          <w:b/>
          <w:bCs/>
          <w:sz w:val="24"/>
          <w:szCs w:val="24"/>
        </w:rPr>
      </w:pPr>
      <w:r>
        <w:rPr>
          <w:b/>
          <w:bCs/>
          <w:sz w:val="24"/>
          <w:szCs w:val="24"/>
        </w:rPr>
        <w:t>PCBS extends special thanks to the members of the Core Funding Group (CFG) for their valuable contribution in funding the project.</w:t>
      </w:r>
    </w:p>
    <w:p w:rsidR="005A67C0" w:rsidRDefault="005A67C0" w:rsidP="008B113C">
      <w:pPr>
        <w:jc w:val="lowKashida"/>
        <w:rPr>
          <w:b/>
          <w:bCs/>
          <w:sz w:val="24"/>
          <w:szCs w:val="24"/>
        </w:rPr>
      </w:pPr>
    </w:p>
    <w:p w:rsidR="005A67C0" w:rsidRDefault="005A67C0" w:rsidP="008B113C">
      <w:pPr>
        <w:jc w:val="lowKashida"/>
        <w:rPr>
          <w:b/>
          <w:bCs/>
          <w:sz w:val="24"/>
          <w:szCs w:val="24"/>
          <w:rtl/>
        </w:rPr>
      </w:pPr>
    </w:p>
    <w:p w:rsidR="000658F1" w:rsidRDefault="003916F1">
      <w:pPr>
        <w:pStyle w:val="H1"/>
        <w:jc w:val="center"/>
        <w:rPr>
          <w:rFonts w:cs="Traditional Arabic"/>
          <w:sz w:val="28"/>
          <w:szCs w:val="28"/>
        </w:rPr>
      </w:pPr>
      <w:r>
        <w:rPr>
          <w:rFonts w:cs="Traditional Arabic"/>
          <w:sz w:val="28"/>
          <w:szCs w:val="28"/>
        </w:rPr>
        <w:br w:type="page"/>
      </w:r>
    </w:p>
    <w:p w:rsidR="000658F1" w:rsidRDefault="000658F1" w:rsidP="000658F1">
      <w:pPr>
        <w:jc w:val="center"/>
        <w:rPr>
          <w:rFonts w:cs="Simplified Arabic"/>
          <w:b/>
          <w:bCs/>
          <w:sz w:val="28"/>
          <w:szCs w:val="28"/>
        </w:rPr>
      </w:pPr>
      <w:r>
        <w:rPr>
          <w:rFonts w:cs="Simplified Arabic"/>
          <w:b/>
          <w:bCs/>
          <w:sz w:val="28"/>
          <w:szCs w:val="28"/>
        </w:rPr>
        <w:lastRenderedPageBreak/>
        <w:t>Project Team</w:t>
      </w:r>
    </w:p>
    <w:p w:rsidR="000658F1" w:rsidRDefault="000658F1" w:rsidP="000658F1">
      <w:pPr>
        <w:jc w:val="center"/>
        <w:rPr>
          <w:rFonts w:cs="Simplified Arabic"/>
          <w:b/>
          <w:bCs/>
          <w:sz w:val="24"/>
          <w:szCs w:val="24"/>
          <w:rtl/>
          <w:lang w:val="en-GB"/>
        </w:rPr>
      </w:pPr>
    </w:p>
    <w:p w:rsidR="000658F1" w:rsidRDefault="000658F1" w:rsidP="003916F1">
      <w:pPr>
        <w:numPr>
          <w:ilvl w:val="0"/>
          <w:numId w:val="1"/>
        </w:numPr>
        <w:ind w:right="1260"/>
        <w:rPr>
          <w:rFonts w:cs="Simplified Arabic"/>
          <w:sz w:val="24"/>
          <w:szCs w:val="24"/>
          <w:rtl/>
          <w:lang w:val="en-GB"/>
        </w:rPr>
      </w:pPr>
      <w:r>
        <w:rPr>
          <w:b/>
          <w:bCs/>
          <w:sz w:val="24"/>
          <w:szCs w:val="24"/>
        </w:rPr>
        <w:t>Report Preparation</w:t>
      </w:r>
      <w:r>
        <w:rPr>
          <w:rFonts w:cs="Simplified Arabic"/>
          <w:sz w:val="24"/>
          <w:szCs w:val="24"/>
          <w:rtl/>
          <w:lang w:val="en-GB"/>
        </w:rPr>
        <w:tab/>
      </w:r>
    </w:p>
    <w:p w:rsidR="000658F1" w:rsidRDefault="000658F1" w:rsidP="000658F1">
      <w:pPr>
        <w:ind w:left="709"/>
        <w:rPr>
          <w:rFonts w:cs="Simplified Arabic"/>
          <w:sz w:val="24"/>
          <w:szCs w:val="24"/>
          <w:rtl/>
          <w:lang w:val="en-GB"/>
        </w:rPr>
      </w:pPr>
      <w:r>
        <w:rPr>
          <w:sz w:val="24"/>
          <w:szCs w:val="24"/>
        </w:rPr>
        <w:t>Mohammed Al-</w:t>
      </w:r>
      <w:proofErr w:type="spellStart"/>
      <w:r>
        <w:rPr>
          <w:sz w:val="24"/>
          <w:szCs w:val="24"/>
        </w:rPr>
        <w:t>Masri</w:t>
      </w:r>
      <w:proofErr w:type="spellEnd"/>
      <w:r>
        <w:rPr>
          <w:rFonts w:cs="Simplified Arabic"/>
          <w:sz w:val="24"/>
          <w:szCs w:val="24"/>
          <w:rtl/>
          <w:lang w:val="en-GB"/>
        </w:rPr>
        <w:tab/>
      </w:r>
    </w:p>
    <w:p w:rsidR="000658F1" w:rsidRDefault="000658F1" w:rsidP="000658F1">
      <w:pPr>
        <w:ind w:firstLine="720"/>
        <w:rPr>
          <w:rFonts w:cs="Simplified Arabic"/>
          <w:sz w:val="24"/>
          <w:szCs w:val="24"/>
        </w:rPr>
      </w:pPr>
      <w:r>
        <w:rPr>
          <w:rFonts w:cs="Simplified Arabic"/>
          <w:sz w:val="24"/>
          <w:szCs w:val="24"/>
        </w:rPr>
        <w:t>Ayah Rabi</w:t>
      </w:r>
    </w:p>
    <w:p w:rsidR="000658F1" w:rsidRDefault="000658F1" w:rsidP="000658F1">
      <w:pPr>
        <w:ind w:firstLine="720"/>
        <w:rPr>
          <w:rFonts w:cs="Simplified Arabic"/>
          <w:sz w:val="24"/>
          <w:szCs w:val="24"/>
        </w:rPr>
      </w:pPr>
    </w:p>
    <w:p w:rsidR="000658F1" w:rsidRDefault="000658F1" w:rsidP="003916F1">
      <w:pPr>
        <w:numPr>
          <w:ilvl w:val="0"/>
          <w:numId w:val="1"/>
        </w:numPr>
        <w:ind w:right="1260"/>
        <w:rPr>
          <w:rFonts w:cs="Times New Roman"/>
          <w:b/>
          <w:bCs/>
          <w:sz w:val="24"/>
          <w:szCs w:val="24"/>
        </w:rPr>
      </w:pPr>
      <w:r>
        <w:rPr>
          <w:rFonts w:cs="Times New Roman"/>
          <w:b/>
          <w:bCs/>
          <w:sz w:val="24"/>
          <w:szCs w:val="24"/>
        </w:rPr>
        <w:t xml:space="preserve">Maps </w:t>
      </w:r>
      <w:r>
        <w:rPr>
          <w:rFonts w:cs="Simplified Arabic"/>
          <w:b/>
          <w:bCs/>
          <w:sz w:val="24"/>
          <w:szCs w:val="24"/>
        </w:rPr>
        <w:t>Design</w:t>
      </w:r>
    </w:p>
    <w:p w:rsidR="000658F1" w:rsidRDefault="000658F1" w:rsidP="000658F1">
      <w:pPr>
        <w:ind w:left="709"/>
        <w:rPr>
          <w:rFonts w:cs="Times New Roman"/>
          <w:sz w:val="24"/>
          <w:szCs w:val="24"/>
          <w:rtl/>
        </w:rPr>
      </w:pPr>
      <w:r>
        <w:rPr>
          <w:rFonts w:cs="Times New Roman"/>
          <w:sz w:val="24"/>
          <w:szCs w:val="24"/>
        </w:rPr>
        <w:t>Reham Dar Ali</w:t>
      </w:r>
    </w:p>
    <w:p w:rsidR="000658F1" w:rsidRDefault="000658F1" w:rsidP="000658F1">
      <w:pPr>
        <w:rPr>
          <w:sz w:val="24"/>
          <w:szCs w:val="24"/>
        </w:rPr>
      </w:pPr>
    </w:p>
    <w:p w:rsidR="000658F1" w:rsidRDefault="000658F1" w:rsidP="003916F1">
      <w:pPr>
        <w:numPr>
          <w:ilvl w:val="0"/>
          <w:numId w:val="1"/>
        </w:numPr>
        <w:ind w:right="1260"/>
        <w:rPr>
          <w:rFonts w:cs="Times New Roman"/>
          <w:b/>
          <w:bCs/>
          <w:sz w:val="24"/>
          <w:szCs w:val="24"/>
        </w:rPr>
      </w:pPr>
      <w:r>
        <w:rPr>
          <w:rFonts w:cs="Times New Roman"/>
          <w:b/>
          <w:bCs/>
          <w:sz w:val="24"/>
          <w:szCs w:val="24"/>
        </w:rPr>
        <w:t>Dissemination Standard</w:t>
      </w:r>
    </w:p>
    <w:p w:rsidR="000658F1" w:rsidRDefault="000658F1" w:rsidP="000658F1">
      <w:pPr>
        <w:ind w:left="709"/>
        <w:rPr>
          <w:sz w:val="24"/>
          <w:szCs w:val="24"/>
        </w:rPr>
      </w:pPr>
      <w:proofErr w:type="spellStart"/>
      <w:r>
        <w:rPr>
          <w:sz w:val="24"/>
          <w:szCs w:val="24"/>
        </w:rPr>
        <w:t>Hanan</w:t>
      </w:r>
      <w:proofErr w:type="spellEnd"/>
      <w:r>
        <w:rPr>
          <w:sz w:val="24"/>
          <w:szCs w:val="24"/>
        </w:rPr>
        <w:t xml:space="preserve"> </w:t>
      </w:r>
      <w:proofErr w:type="spellStart"/>
      <w:r>
        <w:rPr>
          <w:sz w:val="24"/>
          <w:szCs w:val="24"/>
        </w:rPr>
        <w:t>Janajreh</w:t>
      </w:r>
      <w:proofErr w:type="spellEnd"/>
    </w:p>
    <w:p w:rsidR="000658F1" w:rsidRDefault="000658F1" w:rsidP="000658F1">
      <w:pPr>
        <w:ind w:left="709"/>
        <w:rPr>
          <w:rFonts w:cs="Simplified Arabic"/>
          <w:sz w:val="24"/>
          <w:szCs w:val="24"/>
          <w:lang w:val="en-GB"/>
        </w:rPr>
      </w:pPr>
    </w:p>
    <w:p w:rsidR="000658F1" w:rsidRDefault="000658F1" w:rsidP="003916F1">
      <w:pPr>
        <w:numPr>
          <w:ilvl w:val="0"/>
          <w:numId w:val="1"/>
        </w:numPr>
        <w:ind w:right="1260"/>
        <w:rPr>
          <w:rFonts w:cs="Simplified Arabic"/>
          <w:sz w:val="24"/>
          <w:szCs w:val="24"/>
          <w:rtl/>
          <w:lang w:val="en-GB"/>
        </w:rPr>
      </w:pPr>
      <w:r>
        <w:rPr>
          <w:rFonts w:cs="Simplified Arabic"/>
          <w:b/>
          <w:bCs/>
          <w:sz w:val="24"/>
          <w:szCs w:val="24"/>
        </w:rPr>
        <w:t>Preliminary</w:t>
      </w:r>
      <w:r>
        <w:rPr>
          <w:b/>
          <w:bCs/>
          <w:sz w:val="24"/>
          <w:szCs w:val="24"/>
        </w:rPr>
        <w:t xml:space="preserve"> Review</w:t>
      </w:r>
      <w:r>
        <w:rPr>
          <w:rFonts w:cs="Simplified Arabic"/>
          <w:sz w:val="24"/>
          <w:szCs w:val="24"/>
          <w:rtl/>
          <w:lang w:val="en-GB"/>
        </w:rPr>
        <w:tab/>
      </w:r>
    </w:p>
    <w:p w:rsidR="00932B3F" w:rsidRDefault="00932B3F" w:rsidP="000658F1">
      <w:pPr>
        <w:ind w:left="709"/>
        <w:rPr>
          <w:sz w:val="24"/>
          <w:szCs w:val="24"/>
        </w:rPr>
      </w:pPr>
      <w:r>
        <w:rPr>
          <w:sz w:val="24"/>
          <w:szCs w:val="24"/>
        </w:rPr>
        <w:t xml:space="preserve">Mustafa </w:t>
      </w:r>
      <w:proofErr w:type="spellStart"/>
      <w:r>
        <w:rPr>
          <w:sz w:val="24"/>
          <w:szCs w:val="24"/>
        </w:rPr>
        <w:t>Khawaja</w:t>
      </w:r>
      <w:proofErr w:type="spellEnd"/>
    </w:p>
    <w:p w:rsidR="000658F1" w:rsidRDefault="000658F1" w:rsidP="000658F1">
      <w:pPr>
        <w:ind w:left="709"/>
        <w:rPr>
          <w:sz w:val="24"/>
          <w:szCs w:val="24"/>
        </w:rPr>
      </w:pPr>
      <w:proofErr w:type="spellStart"/>
      <w:r>
        <w:rPr>
          <w:sz w:val="24"/>
          <w:szCs w:val="24"/>
        </w:rPr>
        <w:t>Mahmoud</w:t>
      </w:r>
      <w:proofErr w:type="spellEnd"/>
      <w:r>
        <w:rPr>
          <w:sz w:val="24"/>
          <w:szCs w:val="24"/>
        </w:rPr>
        <w:t xml:space="preserve">  </w:t>
      </w:r>
      <w:proofErr w:type="spellStart"/>
      <w:r>
        <w:rPr>
          <w:sz w:val="24"/>
          <w:szCs w:val="24"/>
        </w:rPr>
        <w:t>Abd-Alrahman</w:t>
      </w:r>
      <w:proofErr w:type="spellEnd"/>
    </w:p>
    <w:p w:rsidR="000658F1" w:rsidRDefault="000658F1" w:rsidP="000658F1">
      <w:pPr>
        <w:ind w:left="709"/>
        <w:rPr>
          <w:rFonts w:cs="Simplified Arabic"/>
          <w:sz w:val="24"/>
          <w:szCs w:val="24"/>
          <w:lang w:val="en-GB"/>
        </w:rPr>
      </w:pPr>
      <w:proofErr w:type="spellStart"/>
      <w:r>
        <w:rPr>
          <w:rFonts w:cs="Simplified Arabic"/>
          <w:sz w:val="24"/>
          <w:szCs w:val="24"/>
          <w:lang w:val="en-GB"/>
        </w:rPr>
        <w:t>Mahmoud</w:t>
      </w:r>
      <w:proofErr w:type="spellEnd"/>
      <w:r>
        <w:rPr>
          <w:rFonts w:cs="Simplified Arabic"/>
          <w:sz w:val="24"/>
          <w:szCs w:val="24"/>
          <w:lang w:val="en-GB"/>
        </w:rPr>
        <w:t xml:space="preserve"> AL-</w:t>
      </w:r>
      <w:proofErr w:type="spellStart"/>
      <w:r>
        <w:rPr>
          <w:rFonts w:cs="Simplified Arabic"/>
          <w:sz w:val="24"/>
          <w:szCs w:val="24"/>
          <w:lang w:val="en-GB"/>
        </w:rPr>
        <w:t>Qayya</w:t>
      </w:r>
      <w:proofErr w:type="spellEnd"/>
    </w:p>
    <w:p w:rsidR="000658F1" w:rsidRDefault="000658F1" w:rsidP="000658F1">
      <w:pPr>
        <w:ind w:left="709"/>
        <w:rPr>
          <w:rFonts w:cs="Simplified Arabic"/>
          <w:sz w:val="24"/>
          <w:szCs w:val="24"/>
          <w:lang w:val="de-AT" w:eastAsia="de-AT"/>
        </w:rPr>
      </w:pPr>
    </w:p>
    <w:p w:rsidR="000658F1" w:rsidRDefault="000658F1" w:rsidP="003916F1">
      <w:pPr>
        <w:pStyle w:val="Heading3"/>
        <w:numPr>
          <w:ilvl w:val="0"/>
          <w:numId w:val="2"/>
        </w:numPr>
        <w:tabs>
          <w:tab w:val="left" w:pos="4255"/>
          <w:tab w:val="left" w:pos="9075"/>
        </w:tabs>
        <w:ind w:right="424"/>
        <w:jc w:val="left"/>
        <w:rPr>
          <w:b/>
          <w:bCs/>
          <w:szCs w:val="24"/>
        </w:rPr>
      </w:pPr>
      <w:r>
        <w:rPr>
          <w:b/>
          <w:bCs/>
          <w:szCs w:val="24"/>
        </w:rPr>
        <w:t>Final Review</w:t>
      </w:r>
    </w:p>
    <w:p w:rsidR="000658F1" w:rsidRDefault="000658F1" w:rsidP="000658F1">
      <w:pPr>
        <w:ind w:left="709"/>
        <w:rPr>
          <w:sz w:val="24"/>
          <w:szCs w:val="24"/>
        </w:rPr>
      </w:pPr>
      <w:proofErr w:type="spellStart"/>
      <w:r>
        <w:rPr>
          <w:sz w:val="24"/>
          <w:szCs w:val="24"/>
        </w:rPr>
        <w:t>Mahmoud</w:t>
      </w:r>
      <w:proofErr w:type="spellEnd"/>
      <w:r>
        <w:rPr>
          <w:sz w:val="24"/>
          <w:szCs w:val="24"/>
        </w:rPr>
        <w:t xml:space="preserve"> </w:t>
      </w:r>
      <w:proofErr w:type="spellStart"/>
      <w:r>
        <w:rPr>
          <w:sz w:val="24"/>
          <w:szCs w:val="24"/>
        </w:rPr>
        <w:t>Jaradat</w:t>
      </w:r>
      <w:proofErr w:type="spellEnd"/>
    </w:p>
    <w:p w:rsidR="000658F1" w:rsidRDefault="000658F1" w:rsidP="000658F1">
      <w:pPr>
        <w:rPr>
          <w:rtl/>
        </w:rPr>
      </w:pPr>
    </w:p>
    <w:p w:rsidR="000658F1" w:rsidRDefault="000658F1" w:rsidP="003916F1">
      <w:pPr>
        <w:pStyle w:val="Heading3"/>
        <w:numPr>
          <w:ilvl w:val="0"/>
          <w:numId w:val="2"/>
        </w:numPr>
        <w:tabs>
          <w:tab w:val="left" w:pos="4255"/>
          <w:tab w:val="left" w:pos="9075"/>
        </w:tabs>
        <w:ind w:right="424"/>
        <w:jc w:val="left"/>
        <w:rPr>
          <w:b/>
          <w:bCs/>
          <w:szCs w:val="24"/>
        </w:rPr>
      </w:pPr>
      <w:r>
        <w:rPr>
          <w:b/>
          <w:bCs/>
          <w:szCs w:val="24"/>
        </w:rPr>
        <w:t>Overall Supervision</w:t>
      </w:r>
    </w:p>
    <w:p w:rsidR="000658F1" w:rsidRDefault="000658F1" w:rsidP="000658F1">
      <w:pPr>
        <w:ind w:left="709"/>
        <w:rPr>
          <w:sz w:val="24"/>
          <w:szCs w:val="24"/>
        </w:rPr>
      </w:pPr>
      <w:r>
        <w:rPr>
          <w:sz w:val="24"/>
          <w:szCs w:val="24"/>
        </w:rPr>
        <w:t xml:space="preserve">Ola </w:t>
      </w:r>
      <w:proofErr w:type="spellStart"/>
      <w:r>
        <w:rPr>
          <w:sz w:val="24"/>
          <w:szCs w:val="24"/>
        </w:rPr>
        <w:t>Awad</w:t>
      </w:r>
      <w:proofErr w:type="spellEnd"/>
      <w:r>
        <w:rPr>
          <w:sz w:val="24"/>
          <w:szCs w:val="24"/>
        </w:rPr>
        <w:t xml:space="preserve">                         </w:t>
      </w:r>
      <w:r>
        <w:rPr>
          <w:sz w:val="24"/>
          <w:szCs w:val="24"/>
        </w:rPr>
        <w:tab/>
      </w:r>
      <w:r w:rsidRPr="005E1E3C">
        <w:rPr>
          <w:b/>
          <w:bCs/>
          <w:sz w:val="24"/>
          <w:szCs w:val="24"/>
        </w:rPr>
        <w:t xml:space="preserve">          President</w:t>
      </w:r>
      <w:r w:rsidR="005E1E3C" w:rsidRPr="005E1E3C">
        <w:rPr>
          <w:b/>
          <w:bCs/>
          <w:sz w:val="24"/>
          <w:szCs w:val="24"/>
        </w:rPr>
        <w:t xml:space="preserve"> of PCBS</w:t>
      </w:r>
    </w:p>
    <w:p w:rsidR="000658F1" w:rsidRDefault="000658F1" w:rsidP="000658F1">
      <w:pPr>
        <w:pStyle w:val="H1"/>
        <w:jc w:val="center"/>
        <w:rPr>
          <w:rFonts w:cs="Traditional Arabic"/>
          <w:sz w:val="28"/>
          <w:szCs w:val="28"/>
        </w:rPr>
      </w:pPr>
      <w:r>
        <w:rPr>
          <w:b w:val="0"/>
          <w:bCs w:val="0"/>
          <w:szCs w:val="24"/>
        </w:rPr>
        <w:br w:type="page"/>
      </w:r>
    </w:p>
    <w:p w:rsidR="000658F1" w:rsidRDefault="000658F1">
      <w:pPr>
        <w:pStyle w:val="H1"/>
        <w:jc w:val="center"/>
        <w:rPr>
          <w:rFonts w:cs="Traditional Arabic"/>
          <w:sz w:val="28"/>
          <w:szCs w:val="28"/>
        </w:rPr>
      </w:pPr>
    </w:p>
    <w:p w:rsidR="000658F1" w:rsidRDefault="000658F1">
      <w:pPr>
        <w:pStyle w:val="H1"/>
        <w:jc w:val="center"/>
        <w:rPr>
          <w:rFonts w:cs="Traditional Arabic"/>
          <w:sz w:val="28"/>
          <w:szCs w:val="28"/>
        </w:rPr>
      </w:pPr>
    </w:p>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Pr="000658F1" w:rsidRDefault="000658F1" w:rsidP="000658F1"/>
    <w:p w:rsidR="000C589F" w:rsidRDefault="000C589F">
      <w:pPr>
        <w:pStyle w:val="H1"/>
        <w:jc w:val="center"/>
        <w:rPr>
          <w:rFonts w:cs="Traditional Arabic"/>
          <w:sz w:val="28"/>
          <w:szCs w:val="28"/>
        </w:rPr>
      </w:pPr>
    </w:p>
    <w:p w:rsidR="000C589F" w:rsidRDefault="000C589F">
      <w:pPr>
        <w:pStyle w:val="H1"/>
        <w:jc w:val="center"/>
        <w:rPr>
          <w:rFonts w:cs="Traditional Arabic"/>
          <w:sz w:val="28"/>
          <w:szCs w:val="28"/>
        </w:rPr>
      </w:pPr>
    </w:p>
    <w:p w:rsidR="003916F1" w:rsidRDefault="003916F1">
      <w:pPr>
        <w:pStyle w:val="H1"/>
        <w:jc w:val="center"/>
        <w:rPr>
          <w:rFonts w:cs="Traditional Arabic"/>
          <w:sz w:val="28"/>
          <w:szCs w:val="28"/>
        </w:rPr>
      </w:pPr>
      <w:r>
        <w:rPr>
          <w:rFonts w:cs="Traditional Arabic"/>
          <w:sz w:val="28"/>
          <w:szCs w:val="28"/>
        </w:rPr>
        <w:t>Important Remarks</w:t>
      </w:r>
    </w:p>
    <w:p w:rsidR="003916F1" w:rsidRDefault="003916F1">
      <w:pPr>
        <w:jc w:val="both"/>
        <w:rPr>
          <w:b/>
          <w:bCs/>
          <w:sz w:val="24"/>
          <w:szCs w:val="24"/>
        </w:rPr>
      </w:pPr>
    </w:p>
    <w:p w:rsidR="008B113C" w:rsidRDefault="008B113C" w:rsidP="008B113C">
      <w:pPr>
        <w:pStyle w:val="BodyText"/>
        <w:rPr>
          <w:rFonts w:cs="Times New Roman"/>
          <w:b/>
          <w:bCs/>
          <w:szCs w:val="24"/>
          <w:rtl/>
          <w:lang w:val="en-GB"/>
        </w:rPr>
      </w:pPr>
      <w:r>
        <w:rPr>
          <w:rFonts w:cs="Times New Roman"/>
          <w:b/>
          <w:bCs/>
          <w:szCs w:val="24"/>
        </w:rPr>
        <w:t>Data are for the period up to the end of 2010 unless otherwise stated.</w:t>
      </w:r>
    </w:p>
    <w:p w:rsidR="003916F1" w:rsidRDefault="003916F1">
      <w:pPr>
        <w:jc w:val="both"/>
        <w:rPr>
          <w:b/>
          <w:bCs/>
          <w:sz w:val="24"/>
          <w:szCs w:val="24"/>
        </w:rPr>
      </w:pPr>
    </w:p>
    <w:p w:rsidR="003916F1" w:rsidRDefault="003916F1" w:rsidP="008B113C">
      <w:pPr>
        <w:pStyle w:val="BodyText"/>
        <w:rPr>
          <w:b/>
          <w:bCs/>
          <w:szCs w:val="24"/>
        </w:rPr>
      </w:pPr>
      <w:r>
        <w:rPr>
          <w:rFonts w:cs="Times New Roman"/>
          <w:b/>
          <w:bCs/>
          <w:szCs w:val="24"/>
        </w:rPr>
        <w:t xml:space="preserve">The Statistics presented in this report are derived from various sources, which are not fully </w:t>
      </w:r>
      <w:r w:rsidR="008B113C">
        <w:rPr>
          <w:rFonts w:cs="Times New Roman"/>
          <w:b/>
          <w:bCs/>
          <w:szCs w:val="24"/>
        </w:rPr>
        <w:t>consistent</w:t>
      </w:r>
      <w:r>
        <w:rPr>
          <w:rFonts w:cs="Times New Roman"/>
          <w:b/>
          <w:bCs/>
          <w:szCs w:val="24"/>
        </w:rPr>
        <w:t xml:space="preserve"> </w:t>
      </w:r>
      <w:r w:rsidR="008B113C">
        <w:rPr>
          <w:rFonts w:cs="Times New Roman"/>
          <w:b/>
          <w:bCs/>
          <w:szCs w:val="24"/>
        </w:rPr>
        <w:t>and this should be taken into consideration.</w:t>
      </w:r>
    </w:p>
    <w:p w:rsidR="008B113C" w:rsidRDefault="008B113C" w:rsidP="008B113C">
      <w:pPr>
        <w:pStyle w:val="BodyText"/>
        <w:rPr>
          <w:b/>
          <w:bCs/>
          <w:szCs w:val="24"/>
        </w:rPr>
      </w:pPr>
    </w:p>
    <w:p w:rsidR="003916F1" w:rsidRDefault="003916F1" w:rsidP="008B113C">
      <w:pPr>
        <w:jc w:val="both"/>
        <w:rPr>
          <w:sz w:val="24"/>
          <w:szCs w:val="24"/>
          <w:lang w:val="en-GB"/>
        </w:rPr>
      </w:pPr>
      <w:r>
        <w:rPr>
          <w:b/>
          <w:bCs/>
          <w:sz w:val="24"/>
          <w:szCs w:val="24"/>
        </w:rPr>
        <w:t>For the purpose of correlating area with population, a number of settlements of Jerusalem J1 were joined together in this report</w:t>
      </w:r>
      <w:r w:rsidR="008B113C">
        <w:rPr>
          <w:b/>
          <w:bCs/>
          <w:sz w:val="24"/>
          <w:szCs w:val="24"/>
        </w:rPr>
        <w:t xml:space="preserve">. </w:t>
      </w:r>
      <w:r>
        <w:rPr>
          <w:b/>
          <w:bCs/>
          <w:sz w:val="24"/>
          <w:szCs w:val="24"/>
        </w:rPr>
        <w:t xml:space="preserve"> </w:t>
      </w:r>
      <w:r w:rsidR="008B113C">
        <w:rPr>
          <w:b/>
          <w:bCs/>
          <w:sz w:val="24"/>
          <w:szCs w:val="24"/>
        </w:rPr>
        <w:t>A</w:t>
      </w:r>
      <w:r>
        <w:rPr>
          <w:b/>
          <w:bCs/>
          <w:sz w:val="24"/>
          <w:szCs w:val="24"/>
        </w:rPr>
        <w:t>s a result</w:t>
      </w:r>
      <w:r w:rsidR="008B113C">
        <w:rPr>
          <w:b/>
          <w:bCs/>
          <w:sz w:val="24"/>
          <w:szCs w:val="24"/>
        </w:rPr>
        <w:t>,</w:t>
      </w:r>
      <w:r>
        <w:rPr>
          <w:b/>
          <w:bCs/>
          <w:sz w:val="24"/>
          <w:szCs w:val="24"/>
        </w:rPr>
        <w:t xml:space="preserve"> the number of settlements was reduced from 22 settlements in 2003 to 16 se</w:t>
      </w:r>
      <w:r w:rsidR="000658F1">
        <w:rPr>
          <w:b/>
          <w:bCs/>
          <w:sz w:val="24"/>
          <w:szCs w:val="24"/>
        </w:rPr>
        <w:t xml:space="preserve">ttlements in the </w:t>
      </w:r>
      <w:r w:rsidR="008B113C">
        <w:rPr>
          <w:b/>
          <w:bCs/>
          <w:sz w:val="24"/>
          <w:szCs w:val="24"/>
        </w:rPr>
        <w:t>period</w:t>
      </w:r>
      <w:r w:rsidR="000658F1">
        <w:rPr>
          <w:b/>
          <w:bCs/>
          <w:sz w:val="24"/>
          <w:szCs w:val="24"/>
        </w:rPr>
        <w:t xml:space="preserve"> 2004-2010</w:t>
      </w:r>
      <w:r>
        <w:rPr>
          <w:b/>
          <w:bCs/>
          <w:sz w:val="24"/>
          <w:szCs w:val="24"/>
        </w:rPr>
        <w:t xml:space="preserve">.  It should be emphasized that this decrease </w:t>
      </w:r>
      <w:r w:rsidR="008B113C">
        <w:rPr>
          <w:b/>
          <w:bCs/>
          <w:sz w:val="24"/>
          <w:szCs w:val="24"/>
        </w:rPr>
        <w:t xml:space="preserve">in number </w:t>
      </w:r>
      <w:r>
        <w:rPr>
          <w:b/>
          <w:bCs/>
          <w:sz w:val="24"/>
          <w:szCs w:val="24"/>
        </w:rPr>
        <w:t xml:space="preserve">does not indicate in </w:t>
      </w:r>
      <w:r w:rsidR="008B113C">
        <w:rPr>
          <w:b/>
          <w:bCs/>
          <w:sz w:val="24"/>
          <w:szCs w:val="24"/>
        </w:rPr>
        <w:t xml:space="preserve">any way a reduction in settlement </w:t>
      </w:r>
      <w:r>
        <w:rPr>
          <w:b/>
          <w:bCs/>
          <w:sz w:val="24"/>
          <w:szCs w:val="24"/>
        </w:rPr>
        <w:t>in that area.</w:t>
      </w:r>
      <w:r>
        <w:rPr>
          <w:sz w:val="24"/>
          <w:szCs w:val="24"/>
        </w:rPr>
        <w:t xml:space="preserve">     </w:t>
      </w:r>
      <w:r>
        <w:rPr>
          <w:rFonts w:hint="cs"/>
          <w:sz w:val="24"/>
          <w:szCs w:val="24"/>
          <w:rtl/>
          <w:lang w:val="en-GB"/>
        </w:rPr>
        <w:t xml:space="preserve"> </w:t>
      </w:r>
    </w:p>
    <w:p w:rsidR="00FB0ABC" w:rsidRDefault="00FB0ABC">
      <w:pPr>
        <w:jc w:val="both"/>
        <w:rPr>
          <w:sz w:val="24"/>
          <w:szCs w:val="24"/>
          <w:lang w:val="en-GB"/>
        </w:rPr>
      </w:pPr>
    </w:p>
    <w:p w:rsidR="00FB0ABC" w:rsidRPr="00FB0ABC" w:rsidRDefault="00FB0ABC" w:rsidP="00FB0ABC">
      <w:pPr>
        <w:jc w:val="both"/>
        <w:rPr>
          <w:b/>
          <w:bCs/>
          <w:sz w:val="24"/>
          <w:szCs w:val="24"/>
        </w:rPr>
      </w:pPr>
      <w:r w:rsidRPr="00FB0ABC">
        <w:rPr>
          <w:b/>
          <w:bCs/>
          <w:sz w:val="24"/>
          <w:szCs w:val="24"/>
        </w:rPr>
        <w:t xml:space="preserve">The data presented in this report on the number of settlements, occupation sites are not consistent with what is reported from other sources due to the different definitions and classifications. </w:t>
      </w:r>
    </w:p>
    <w:p w:rsidR="00FB0ABC" w:rsidRPr="00FB0ABC" w:rsidRDefault="00FB0ABC" w:rsidP="00FB0ABC">
      <w:pPr>
        <w:jc w:val="both"/>
        <w:rPr>
          <w:b/>
          <w:bCs/>
          <w:sz w:val="24"/>
          <w:szCs w:val="24"/>
        </w:rPr>
      </w:pPr>
      <w:r w:rsidRPr="00FB0ABC">
        <w:rPr>
          <w:b/>
          <w:bCs/>
          <w:sz w:val="24"/>
          <w:szCs w:val="24"/>
        </w:rPr>
        <w:br/>
        <w:t>The number of settlers in 2010 based on the Israeli census data which was implemented in year 2008, while the data on the number of settlers differ for the years 2008, 2009 from the previous reports that were revised according to the Israeli census data of 2008.</w:t>
      </w:r>
    </w:p>
    <w:p w:rsidR="00FB0ABC" w:rsidRPr="00FB0ABC" w:rsidRDefault="00FB0ABC">
      <w:pPr>
        <w:jc w:val="both"/>
        <w:rPr>
          <w:sz w:val="24"/>
          <w:szCs w:val="24"/>
          <w:rtl/>
        </w:rPr>
      </w:pPr>
    </w:p>
    <w:p w:rsidR="00093ACB" w:rsidRPr="002B01E0" w:rsidRDefault="00093ACB" w:rsidP="00093ACB">
      <w:pPr>
        <w:jc w:val="lowKashida"/>
        <w:rPr>
          <w:b/>
          <w:bCs/>
          <w:sz w:val="24"/>
          <w:szCs w:val="24"/>
        </w:rPr>
      </w:pPr>
      <w:r w:rsidRPr="002B01E0">
        <w:rPr>
          <w:b/>
          <w:bCs/>
          <w:sz w:val="24"/>
          <w:szCs w:val="24"/>
        </w:rPr>
        <w:t xml:space="preserve">There </w:t>
      </w:r>
      <w:r>
        <w:rPr>
          <w:b/>
          <w:bCs/>
          <w:sz w:val="24"/>
          <w:szCs w:val="24"/>
        </w:rPr>
        <w:t>are</w:t>
      </w:r>
      <w:r w:rsidRPr="002B01E0">
        <w:rPr>
          <w:b/>
          <w:bCs/>
          <w:sz w:val="24"/>
          <w:szCs w:val="24"/>
        </w:rPr>
        <w:t xml:space="preserve"> no data available about population of Six settlements </w:t>
      </w:r>
      <w:r>
        <w:rPr>
          <w:b/>
          <w:bCs/>
          <w:sz w:val="24"/>
          <w:szCs w:val="24"/>
        </w:rPr>
        <w:t xml:space="preserve">appeared in this report which are located </w:t>
      </w:r>
      <w:r w:rsidRPr="002B01E0">
        <w:rPr>
          <w:b/>
          <w:bCs/>
          <w:sz w:val="24"/>
          <w:szCs w:val="24"/>
        </w:rPr>
        <w:t xml:space="preserve">in  Jerusalem, Tubas, Bethlehem and </w:t>
      </w:r>
      <w:r w:rsidRPr="005A67C0">
        <w:rPr>
          <w:b/>
          <w:bCs/>
          <w:sz w:val="24"/>
          <w:szCs w:val="24"/>
        </w:rPr>
        <w:t>Jericho &amp; Al-</w:t>
      </w:r>
      <w:proofErr w:type="spellStart"/>
      <w:r w:rsidRPr="005A67C0">
        <w:rPr>
          <w:b/>
          <w:bCs/>
          <w:sz w:val="24"/>
          <w:szCs w:val="24"/>
        </w:rPr>
        <w:t>Aghwar</w:t>
      </w:r>
      <w:proofErr w:type="spellEnd"/>
      <w:r>
        <w:rPr>
          <w:b/>
          <w:bCs/>
          <w:sz w:val="24"/>
          <w:szCs w:val="24"/>
        </w:rPr>
        <w:t xml:space="preserve"> </w:t>
      </w:r>
      <w:r w:rsidRPr="002B01E0">
        <w:rPr>
          <w:b/>
          <w:bCs/>
          <w:sz w:val="24"/>
          <w:szCs w:val="24"/>
        </w:rPr>
        <w:t>governorates</w:t>
      </w:r>
      <w:r>
        <w:rPr>
          <w:b/>
          <w:bCs/>
          <w:sz w:val="24"/>
          <w:szCs w:val="24"/>
        </w:rPr>
        <w:t>.</w:t>
      </w:r>
    </w:p>
    <w:p w:rsidR="003916F1" w:rsidRDefault="003916F1">
      <w:pPr>
        <w:jc w:val="both"/>
        <w:rPr>
          <w:b/>
          <w:bCs/>
          <w:sz w:val="24"/>
          <w:szCs w:val="24"/>
        </w:rPr>
      </w:pPr>
      <w:r>
        <w:rPr>
          <w:b/>
          <w:bCs/>
          <w:sz w:val="24"/>
          <w:szCs w:val="24"/>
        </w:rPr>
        <w:br w:type="page"/>
      </w:r>
    </w:p>
    <w:p w:rsidR="003916F1" w:rsidRDefault="003916F1">
      <w:pPr>
        <w:jc w:val="both"/>
        <w:rPr>
          <w:b/>
          <w:bCs/>
          <w:sz w:val="24"/>
          <w:szCs w:val="24"/>
        </w:rPr>
      </w:pPr>
    </w:p>
    <w:p w:rsidR="000658F1" w:rsidRDefault="003916F1" w:rsidP="000658F1">
      <w:pPr>
        <w:pStyle w:val="BodyText"/>
        <w:jc w:val="center"/>
        <w:rPr>
          <w:b/>
          <w:bCs/>
          <w:sz w:val="28"/>
        </w:rPr>
      </w:pPr>
      <w:r>
        <w:rPr>
          <w:b/>
          <w:bCs/>
          <w:sz w:val="44"/>
          <w:szCs w:val="44"/>
        </w:rPr>
        <w:br w:type="page"/>
      </w:r>
      <w:r w:rsidR="000658F1">
        <w:rPr>
          <w:b/>
          <w:bCs/>
          <w:sz w:val="28"/>
        </w:rPr>
        <w:lastRenderedPageBreak/>
        <w:t>Table of Contents</w:t>
      </w:r>
    </w:p>
    <w:p w:rsidR="000658F1" w:rsidRDefault="000658F1" w:rsidP="000658F1">
      <w:pPr>
        <w:rPr>
          <w:b/>
          <w:bCs/>
          <w:sz w:val="24"/>
          <w:szCs w:val="24"/>
        </w:rPr>
      </w:pPr>
    </w:p>
    <w:tbl>
      <w:tblPr>
        <w:tblW w:w="9129" w:type="dxa"/>
        <w:jc w:val="center"/>
        <w:tblLayout w:type="fixed"/>
        <w:tblLook w:val="0000"/>
      </w:tblPr>
      <w:tblGrid>
        <w:gridCol w:w="1779"/>
        <w:gridCol w:w="6470"/>
        <w:gridCol w:w="880"/>
      </w:tblGrid>
      <w:tr w:rsidR="000658F1" w:rsidTr="007E53F5">
        <w:trPr>
          <w:jc w:val="center"/>
        </w:trPr>
        <w:tc>
          <w:tcPr>
            <w:tcW w:w="8249" w:type="dxa"/>
            <w:gridSpan w:val="2"/>
          </w:tcPr>
          <w:p w:rsidR="000658F1" w:rsidRDefault="000658F1" w:rsidP="003916F1">
            <w:pPr>
              <w:pStyle w:val="Heading1"/>
              <w:jc w:val="left"/>
            </w:pPr>
            <w:r>
              <w:rPr>
                <w:b/>
                <w:bCs/>
              </w:rPr>
              <w:t>Subject</w:t>
            </w:r>
          </w:p>
        </w:tc>
        <w:tc>
          <w:tcPr>
            <w:tcW w:w="880" w:type="dxa"/>
            <w:vAlign w:val="center"/>
          </w:tcPr>
          <w:p w:rsidR="000658F1" w:rsidRDefault="000658F1" w:rsidP="003916F1">
            <w:pPr>
              <w:pStyle w:val="Heading1"/>
              <w:jc w:val="center"/>
              <w:rPr>
                <w:b/>
                <w:bCs/>
                <w:szCs w:val="24"/>
              </w:rPr>
            </w:pPr>
            <w:r>
              <w:rPr>
                <w:b/>
                <w:bCs/>
                <w:szCs w:val="24"/>
              </w:rPr>
              <w:t>Page</w:t>
            </w:r>
          </w:p>
        </w:tc>
      </w:tr>
      <w:tr w:rsidR="000658F1" w:rsidTr="007E53F5">
        <w:trPr>
          <w:jc w:val="center"/>
        </w:trPr>
        <w:tc>
          <w:tcPr>
            <w:tcW w:w="1779" w:type="dxa"/>
          </w:tcPr>
          <w:p w:rsidR="000658F1" w:rsidRDefault="000658F1" w:rsidP="003916F1">
            <w:pPr>
              <w:pStyle w:val="Heading1"/>
              <w:jc w:val="left"/>
              <w:rPr>
                <w:b/>
                <w:bCs/>
                <w:sz w:val="12"/>
                <w:szCs w:val="12"/>
              </w:rPr>
            </w:pPr>
          </w:p>
        </w:tc>
        <w:tc>
          <w:tcPr>
            <w:tcW w:w="6470" w:type="dxa"/>
            <w:vAlign w:val="center"/>
          </w:tcPr>
          <w:p w:rsidR="000658F1" w:rsidRDefault="000658F1" w:rsidP="003916F1">
            <w:pPr>
              <w:pStyle w:val="Heading1"/>
              <w:jc w:val="left"/>
              <w:rPr>
                <w:b/>
                <w:bCs/>
                <w:sz w:val="12"/>
                <w:szCs w:val="12"/>
              </w:rPr>
            </w:pPr>
          </w:p>
        </w:tc>
        <w:tc>
          <w:tcPr>
            <w:tcW w:w="880" w:type="dxa"/>
            <w:vAlign w:val="center"/>
          </w:tcPr>
          <w:p w:rsidR="000658F1" w:rsidRDefault="000658F1" w:rsidP="003916F1">
            <w:pPr>
              <w:pStyle w:val="Heading1"/>
              <w:jc w:val="center"/>
              <w:rPr>
                <w:b/>
                <w:bCs/>
                <w:sz w:val="12"/>
                <w:szCs w:val="12"/>
              </w:rPr>
            </w:pPr>
          </w:p>
        </w:tc>
      </w:tr>
      <w:tr w:rsidR="000658F1" w:rsidTr="007E53F5">
        <w:trPr>
          <w:jc w:val="center"/>
        </w:trPr>
        <w:tc>
          <w:tcPr>
            <w:tcW w:w="1779" w:type="dxa"/>
          </w:tcPr>
          <w:p w:rsidR="000658F1" w:rsidRDefault="000658F1" w:rsidP="003916F1">
            <w:pPr>
              <w:pStyle w:val="Heading1"/>
              <w:jc w:val="left"/>
              <w:rPr>
                <w:b/>
                <w:bCs/>
                <w:szCs w:val="24"/>
              </w:rPr>
            </w:pPr>
          </w:p>
        </w:tc>
        <w:tc>
          <w:tcPr>
            <w:tcW w:w="6470" w:type="dxa"/>
            <w:vAlign w:val="center"/>
          </w:tcPr>
          <w:p w:rsidR="000658F1" w:rsidRDefault="000658F1" w:rsidP="003916F1">
            <w:pPr>
              <w:pStyle w:val="Heading1"/>
              <w:ind w:left="-16"/>
              <w:jc w:val="left"/>
              <w:rPr>
                <w:szCs w:val="24"/>
              </w:rPr>
            </w:pPr>
            <w:r>
              <w:rPr>
                <w:szCs w:val="24"/>
              </w:rPr>
              <w:t>List of Tables</w:t>
            </w:r>
          </w:p>
        </w:tc>
        <w:tc>
          <w:tcPr>
            <w:tcW w:w="880" w:type="dxa"/>
            <w:vAlign w:val="center"/>
          </w:tcPr>
          <w:p w:rsidR="000658F1" w:rsidRDefault="000658F1" w:rsidP="003916F1">
            <w:pPr>
              <w:pStyle w:val="Heading1"/>
              <w:jc w:val="center"/>
              <w:rPr>
                <w:b/>
                <w:bCs/>
                <w:szCs w:val="24"/>
              </w:rPr>
            </w:pPr>
          </w:p>
        </w:tc>
      </w:tr>
      <w:tr w:rsidR="000658F1" w:rsidTr="007E53F5">
        <w:trPr>
          <w:trHeight w:val="377"/>
          <w:jc w:val="center"/>
        </w:trPr>
        <w:tc>
          <w:tcPr>
            <w:tcW w:w="1779" w:type="dxa"/>
          </w:tcPr>
          <w:p w:rsidR="000658F1" w:rsidRDefault="000658F1" w:rsidP="003916F1">
            <w:pPr>
              <w:pStyle w:val="Heading1"/>
              <w:jc w:val="left"/>
              <w:rPr>
                <w:b/>
                <w:bCs/>
                <w:szCs w:val="24"/>
              </w:rPr>
            </w:pPr>
          </w:p>
        </w:tc>
        <w:tc>
          <w:tcPr>
            <w:tcW w:w="6470" w:type="dxa"/>
            <w:vAlign w:val="center"/>
          </w:tcPr>
          <w:p w:rsidR="000658F1" w:rsidRPr="00B55CD7" w:rsidRDefault="00B55CD7" w:rsidP="00B55CD7">
            <w:pPr>
              <w:pStyle w:val="Heading1"/>
              <w:jc w:val="left"/>
              <w:rPr>
                <w:iCs/>
                <w:szCs w:val="24"/>
              </w:rPr>
            </w:pPr>
            <w:r>
              <w:rPr>
                <w:iCs/>
                <w:szCs w:val="24"/>
              </w:rPr>
              <w:t>Introduction</w:t>
            </w:r>
          </w:p>
        </w:tc>
        <w:tc>
          <w:tcPr>
            <w:tcW w:w="880" w:type="dxa"/>
            <w:vAlign w:val="center"/>
          </w:tcPr>
          <w:p w:rsidR="000658F1" w:rsidRDefault="000658F1" w:rsidP="003916F1">
            <w:pPr>
              <w:pStyle w:val="Heading1"/>
              <w:jc w:val="center"/>
              <w:rPr>
                <w:b/>
                <w:bCs/>
                <w:szCs w:val="24"/>
              </w:rPr>
            </w:pPr>
          </w:p>
        </w:tc>
      </w:tr>
      <w:tr w:rsidR="000658F1" w:rsidTr="007E53F5">
        <w:trPr>
          <w:jc w:val="center"/>
        </w:trPr>
        <w:tc>
          <w:tcPr>
            <w:tcW w:w="1779" w:type="dxa"/>
          </w:tcPr>
          <w:p w:rsidR="000658F1" w:rsidRDefault="000658F1" w:rsidP="003916F1">
            <w:pPr>
              <w:pStyle w:val="Heading1"/>
              <w:jc w:val="left"/>
              <w:rPr>
                <w:b/>
                <w:bCs/>
                <w:sz w:val="12"/>
                <w:szCs w:val="12"/>
              </w:rPr>
            </w:pPr>
          </w:p>
        </w:tc>
        <w:tc>
          <w:tcPr>
            <w:tcW w:w="6470" w:type="dxa"/>
            <w:vAlign w:val="center"/>
          </w:tcPr>
          <w:p w:rsidR="000658F1" w:rsidRDefault="000658F1" w:rsidP="003916F1">
            <w:pPr>
              <w:pStyle w:val="Heading1"/>
              <w:jc w:val="left"/>
              <w:rPr>
                <w:b/>
                <w:bCs/>
                <w:sz w:val="12"/>
                <w:szCs w:val="12"/>
              </w:rPr>
            </w:pPr>
          </w:p>
        </w:tc>
        <w:tc>
          <w:tcPr>
            <w:tcW w:w="880" w:type="dxa"/>
            <w:vAlign w:val="center"/>
          </w:tcPr>
          <w:p w:rsidR="000658F1" w:rsidRDefault="000658F1" w:rsidP="003916F1">
            <w:pPr>
              <w:pStyle w:val="Heading1"/>
              <w:jc w:val="left"/>
              <w:rPr>
                <w:b/>
                <w:bCs/>
                <w:sz w:val="12"/>
                <w:szCs w:val="12"/>
              </w:rPr>
            </w:pPr>
          </w:p>
        </w:tc>
      </w:tr>
      <w:tr w:rsidR="000658F1" w:rsidTr="007E53F5">
        <w:trPr>
          <w:jc w:val="center"/>
        </w:trPr>
        <w:tc>
          <w:tcPr>
            <w:tcW w:w="1779" w:type="dxa"/>
          </w:tcPr>
          <w:p w:rsidR="000658F1" w:rsidRDefault="00556D30" w:rsidP="003916F1">
            <w:pPr>
              <w:pStyle w:val="Heading1"/>
              <w:jc w:val="left"/>
              <w:rPr>
                <w:szCs w:val="24"/>
              </w:rPr>
            </w:pPr>
            <w:r>
              <w:rPr>
                <w:szCs w:val="24"/>
              </w:rPr>
              <w:t>Chapter One</w:t>
            </w:r>
            <w:r w:rsidR="000658F1">
              <w:rPr>
                <w:szCs w:val="24"/>
              </w:rPr>
              <w:t>:</w:t>
            </w:r>
          </w:p>
        </w:tc>
        <w:tc>
          <w:tcPr>
            <w:tcW w:w="6470" w:type="dxa"/>
            <w:vAlign w:val="center"/>
          </w:tcPr>
          <w:p w:rsidR="000658F1" w:rsidRDefault="000C589F" w:rsidP="003916F1">
            <w:pPr>
              <w:pStyle w:val="Heading1"/>
              <w:ind w:left="-16"/>
              <w:jc w:val="left"/>
              <w:rPr>
                <w:b/>
                <w:bCs/>
                <w:szCs w:val="24"/>
              </w:rPr>
            </w:pPr>
            <w:r>
              <w:rPr>
                <w:b/>
                <w:bCs/>
                <w:szCs w:val="24"/>
              </w:rPr>
              <w:t>Main Findings</w:t>
            </w:r>
          </w:p>
        </w:tc>
        <w:tc>
          <w:tcPr>
            <w:tcW w:w="880" w:type="dxa"/>
            <w:vAlign w:val="center"/>
          </w:tcPr>
          <w:p w:rsidR="000658F1" w:rsidRDefault="000658F1" w:rsidP="00556D30">
            <w:pPr>
              <w:pStyle w:val="Heading1"/>
              <w:jc w:val="center"/>
              <w:rPr>
                <w:b/>
                <w:bCs/>
                <w:szCs w:val="24"/>
              </w:rPr>
            </w:pPr>
            <w:r>
              <w:rPr>
                <w:b/>
                <w:bCs/>
                <w:szCs w:val="24"/>
              </w:rPr>
              <w:t>[</w:t>
            </w:r>
            <w:r w:rsidR="00556D30">
              <w:rPr>
                <w:b/>
                <w:bCs/>
                <w:szCs w:val="24"/>
              </w:rPr>
              <w:t>15</w:t>
            </w:r>
            <w:r>
              <w:rPr>
                <w:b/>
                <w:bCs/>
                <w:szCs w:val="24"/>
              </w:rPr>
              <w:t>]</w:t>
            </w:r>
          </w:p>
        </w:tc>
      </w:tr>
      <w:tr w:rsidR="000658F1" w:rsidTr="007E53F5">
        <w:trPr>
          <w:trHeight w:val="340"/>
          <w:jc w:val="center"/>
        </w:trPr>
        <w:tc>
          <w:tcPr>
            <w:tcW w:w="1779" w:type="dxa"/>
          </w:tcPr>
          <w:p w:rsidR="000658F1" w:rsidRDefault="000658F1" w:rsidP="003916F1">
            <w:pPr>
              <w:pStyle w:val="Heading1"/>
              <w:ind w:left="567" w:hanging="247"/>
              <w:jc w:val="left"/>
              <w:rPr>
                <w:szCs w:val="24"/>
                <w:rtl/>
                <w:lang w:val="en-GB" w:eastAsia="en-GB"/>
              </w:rPr>
            </w:pPr>
          </w:p>
        </w:tc>
        <w:tc>
          <w:tcPr>
            <w:tcW w:w="6470" w:type="dxa"/>
            <w:vAlign w:val="center"/>
          </w:tcPr>
          <w:p w:rsidR="000658F1" w:rsidRDefault="00556D30" w:rsidP="003916F1">
            <w:pPr>
              <w:pStyle w:val="Heading1"/>
              <w:ind w:left="-16"/>
              <w:jc w:val="left"/>
              <w:rPr>
                <w:szCs w:val="24"/>
              </w:rPr>
            </w:pPr>
            <w:r>
              <w:rPr>
                <w:rFonts w:hint="cs"/>
                <w:szCs w:val="24"/>
                <w:rtl/>
                <w:lang w:val="en-GB" w:eastAsia="en-GB"/>
              </w:rPr>
              <w:t>1.1</w:t>
            </w:r>
            <w:r w:rsidR="000658F1">
              <w:rPr>
                <w:szCs w:val="24"/>
              </w:rPr>
              <w:t xml:space="preserve">  S</w:t>
            </w:r>
            <w:r w:rsidR="000658F1">
              <w:t xml:space="preserve">ettlements </w:t>
            </w:r>
          </w:p>
        </w:tc>
        <w:tc>
          <w:tcPr>
            <w:tcW w:w="880" w:type="dxa"/>
            <w:vAlign w:val="center"/>
          </w:tcPr>
          <w:p w:rsidR="000658F1" w:rsidRDefault="000658F1" w:rsidP="00556D30">
            <w:pPr>
              <w:pStyle w:val="Heading1"/>
              <w:jc w:val="center"/>
              <w:rPr>
                <w:szCs w:val="24"/>
              </w:rPr>
            </w:pPr>
            <w:r>
              <w:rPr>
                <w:szCs w:val="24"/>
              </w:rPr>
              <w:t>[</w:t>
            </w:r>
            <w:r w:rsidR="00556D30">
              <w:rPr>
                <w:szCs w:val="24"/>
              </w:rPr>
              <w:t>15</w:t>
            </w:r>
            <w:r>
              <w:rPr>
                <w:szCs w:val="24"/>
              </w:rPr>
              <w:t>]</w:t>
            </w:r>
          </w:p>
        </w:tc>
      </w:tr>
      <w:tr w:rsidR="000658F1" w:rsidTr="007E53F5">
        <w:trPr>
          <w:trHeight w:val="340"/>
          <w:jc w:val="center"/>
        </w:trPr>
        <w:tc>
          <w:tcPr>
            <w:tcW w:w="1779" w:type="dxa"/>
          </w:tcPr>
          <w:p w:rsidR="000658F1" w:rsidRDefault="000658F1" w:rsidP="003916F1">
            <w:pPr>
              <w:pStyle w:val="Heading1"/>
              <w:ind w:left="567" w:hanging="247"/>
              <w:jc w:val="left"/>
              <w:rPr>
                <w:szCs w:val="24"/>
                <w:lang w:val="en-GB" w:eastAsia="en-GB"/>
              </w:rPr>
            </w:pPr>
          </w:p>
        </w:tc>
        <w:tc>
          <w:tcPr>
            <w:tcW w:w="6470" w:type="dxa"/>
            <w:vAlign w:val="center"/>
          </w:tcPr>
          <w:p w:rsidR="000658F1" w:rsidRDefault="00556D30" w:rsidP="003916F1">
            <w:pPr>
              <w:pStyle w:val="Heading1"/>
              <w:ind w:left="-16"/>
              <w:jc w:val="left"/>
              <w:rPr>
                <w:szCs w:val="24"/>
                <w:lang w:eastAsia="en-GB"/>
              </w:rPr>
            </w:pPr>
            <w:r>
              <w:rPr>
                <w:rFonts w:hint="cs"/>
                <w:szCs w:val="24"/>
                <w:rtl/>
                <w:lang w:val="en-GB" w:eastAsia="en-GB"/>
              </w:rPr>
              <w:t>1.2</w:t>
            </w:r>
            <w:r w:rsidR="000658F1">
              <w:rPr>
                <w:szCs w:val="24"/>
                <w:lang w:val="en-GB" w:eastAsia="en-GB"/>
              </w:rPr>
              <w:t xml:space="preserve">  The Settlers Population</w:t>
            </w:r>
          </w:p>
        </w:tc>
        <w:tc>
          <w:tcPr>
            <w:tcW w:w="880" w:type="dxa"/>
            <w:vAlign w:val="center"/>
          </w:tcPr>
          <w:p w:rsidR="000658F1" w:rsidRDefault="000658F1" w:rsidP="00556D30">
            <w:pPr>
              <w:pStyle w:val="Heading1"/>
              <w:jc w:val="center"/>
              <w:rPr>
                <w:szCs w:val="24"/>
              </w:rPr>
            </w:pPr>
            <w:r>
              <w:rPr>
                <w:szCs w:val="24"/>
              </w:rPr>
              <w:t>[</w:t>
            </w:r>
            <w:r w:rsidR="00556D30">
              <w:rPr>
                <w:szCs w:val="24"/>
              </w:rPr>
              <w:t>15</w:t>
            </w:r>
            <w:r>
              <w:rPr>
                <w:szCs w:val="24"/>
              </w:rPr>
              <w:t>]</w:t>
            </w:r>
          </w:p>
        </w:tc>
      </w:tr>
      <w:tr w:rsidR="00556D30" w:rsidTr="007E53F5">
        <w:trPr>
          <w:trHeight w:val="340"/>
          <w:jc w:val="center"/>
        </w:trPr>
        <w:tc>
          <w:tcPr>
            <w:tcW w:w="1779" w:type="dxa"/>
          </w:tcPr>
          <w:p w:rsidR="00556D30" w:rsidRDefault="00556D30" w:rsidP="003916F1">
            <w:pPr>
              <w:pStyle w:val="Heading1"/>
              <w:ind w:left="567" w:hanging="247"/>
              <w:jc w:val="left"/>
              <w:rPr>
                <w:szCs w:val="24"/>
                <w:lang w:val="en-GB" w:eastAsia="en-GB"/>
              </w:rPr>
            </w:pPr>
          </w:p>
        </w:tc>
        <w:tc>
          <w:tcPr>
            <w:tcW w:w="6470" w:type="dxa"/>
            <w:vAlign w:val="center"/>
          </w:tcPr>
          <w:p w:rsidR="00556D30" w:rsidRDefault="00556D30" w:rsidP="003916F1">
            <w:pPr>
              <w:pStyle w:val="Heading1"/>
              <w:ind w:left="-16"/>
              <w:jc w:val="left"/>
              <w:rPr>
                <w:szCs w:val="24"/>
                <w:rtl/>
                <w:lang w:val="en-GB" w:eastAsia="en-GB"/>
              </w:rPr>
            </w:pPr>
            <w:r>
              <w:rPr>
                <w:szCs w:val="24"/>
                <w:lang w:val="en-GB" w:eastAsia="en-GB"/>
              </w:rPr>
              <w:t>1.3 Settling Stages</w:t>
            </w:r>
          </w:p>
        </w:tc>
        <w:tc>
          <w:tcPr>
            <w:tcW w:w="880" w:type="dxa"/>
            <w:vAlign w:val="center"/>
          </w:tcPr>
          <w:p w:rsidR="00556D30" w:rsidRDefault="00556D30" w:rsidP="00556D30">
            <w:pPr>
              <w:pStyle w:val="Heading1"/>
              <w:jc w:val="center"/>
              <w:rPr>
                <w:szCs w:val="24"/>
              </w:rPr>
            </w:pPr>
            <w:r>
              <w:rPr>
                <w:szCs w:val="24"/>
              </w:rPr>
              <w:t>[16]</w:t>
            </w:r>
          </w:p>
        </w:tc>
      </w:tr>
      <w:tr w:rsidR="000658F1" w:rsidTr="007E53F5">
        <w:trPr>
          <w:trHeight w:val="340"/>
          <w:jc w:val="center"/>
        </w:trPr>
        <w:tc>
          <w:tcPr>
            <w:tcW w:w="1779" w:type="dxa"/>
          </w:tcPr>
          <w:p w:rsidR="000658F1" w:rsidRDefault="000658F1" w:rsidP="003916F1">
            <w:pPr>
              <w:pStyle w:val="Heading1"/>
              <w:ind w:left="567" w:hanging="247"/>
              <w:jc w:val="left"/>
              <w:rPr>
                <w:szCs w:val="24"/>
                <w:lang w:val="en-GB" w:eastAsia="en-GB"/>
              </w:rPr>
            </w:pPr>
          </w:p>
        </w:tc>
        <w:tc>
          <w:tcPr>
            <w:tcW w:w="6470" w:type="dxa"/>
            <w:vAlign w:val="center"/>
          </w:tcPr>
          <w:p w:rsidR="000658F1" w:rsidRDefault="00556D30" w:rsidP="003916F1">
            <w:pPr>
              <w:pStyle w:val="Heading1"/>
              <w:ind w:left="-16"/>
              <w:jc w:val="left"/>
              <w:rPr>
                <w:szCs w:val="24"/>
                <w:lang w:eastAsia="en-GB"/>
              </w:rPr>
            </w:pPr>
            <w:r>
              <w:rPr>
                <w:rFonts w:hint="cs"/>
                <w:szCs w:val="24"/>
                <w:rtl/>
                <w:lang w:val="en-GB" w:eastAsia="en-GB"/>
              </w:rPr>
              <w:t>1.4</w:t>
            </w:r>
            <w:r w:rsidR="000658F1">
              <w:rPr>
                <w:szCs w:val="24"/>
                <w:lang w:val="en-GB" w:eastAsia="en-GB"/>
              </w:rPr>
              <w:t xml:space="preserve">  The Nature of Settling in the West Bank</w:t>
            </w:r>
          </w:p>
        </w:tc>
        <w:tc>
          <w:tcPr>
            <w:tcW w:w="880" w:type="dxa"/>
            <w:vAlign w:val="center"/>
          </w:tcPr>
          <w:p w:rsidR="000658F1" w:rsidRDefault="000658F1" w:rsidP="000C589F">
            <w:pPr>
              <w:pStyle w:val="Heading1"/>
              <w:jc w:val="center"/>
              <w:rPr>
                <w:szCs w:val="24"/>
              </w:rPr>
            </w:pPr>
            <w:r>
              <w:rPr>
                <w:szCs w:val="24"/>
              </w:rPr>
              <w:t>[</w:t>
            </w:r>
            <w:r w:rsidR="000C589F">
              <w:rPr>
                <w:szCs w:val="24"/>
              </w:rPr>
              <w:t>16</w:t>
            </w:r>
            <w:r>
              <w:rPr>
                <w:szCs w:val="24"/>
              </w:rPr>
              <w:t>]</w:t>
            </w:r>
          </w:p>
        </w:tc>
      </w:tr>
      <w:tr w:rsidR="000658F1" w:rsidTr="007E53F5">
        <w:trPr>
          <w:trHeight w:val="340"/>
          <w:jc w:val="center"/>
        </w:trPr>
        <w:tc>
          <w:tcPr>
            <w:tcW w:w="1779" w:type="dxa"/>
          </w:tcPr>
          <w:p w:rsidR="000658F1" w:rsidRDefault="000658F1" w:rsidP="003916F1">
            <w:pPr>
              <w:pStyle w:val="Heading1"/>
              <w:ind w:left="567" w:hanging="247"/>
              <w:jc w:val="left"/>
              <w:rPr>
                <w:szCs w:val="24"/>
                <w:lang w:val="en-GB" w:eastAsia="en-GB"/>
              </w:rPr>
            </w:pPr>
          </w:p>
        </w:tc>
        <w:tc>
          <w:tcPr>
            <w:tcW w:w="6470" w:type="dxa"/>
            <w:vAlign w:val="center"/>
          </w:tcPr>
          <w:p w:rsidR="000658F1" w:rsidRDefault="00556D30" w:rsidP="003916F1">
            <w:pPr>
              <w:pStyle w:val="Heading1"/>
              <w:ind w:left="-16"/>
              <w:jc w:val="left"/>
              <w:rPr>
                <w:szCs w:val="24"/>
                <w:lang w:eastAsia="en-GB"/>
              </w:rPr>
            </w:pPr>
            <w:r>
              <w:rPr>
                <w:szCs w:val="24"/>
                <w:lang w:val="en-GB" w:eastAsia="en-GB"/>
              </w:rPr>
              <w:t>1.5</w:t>
            </w:r>
            <w:r w:rsidR="000658F1">
              <w:rPr>
                <w:szCs w:val="24"/>
                <w:lang w:val="en-GB" w:eastAsia="en-GB"/>
              </w:rPr>
              <w:t xml:space="preserve">  Geographic</w:t>
            </w:r>
            <w:r w:rsidR="000658F1">
              <w:rPr>
                <w:szCs w:val="24"/>
                <w:lang w:eastAsia="en-GB"/>
              </w:rPr>
              <w:t>al</w:t>
            </w:r>
            <w:r w:rsidR="000658F1">
              <w:rPr>
                <w:szCs w:val="24"/>
                <w:lang w:val="en-GB" w:eastAsia="en-GB"/>
              </w:rPr>
              <w:t xml:space="preserve"> Dispersion</w:t>
            </w:r>
          </w:p>
        </w:tc>
        <w:tc>
          <w:tcPr>
            <w:tcW w:w="880" w:type="dxa"/>
            <w:vAlign w:val="center"/>
          </w:tcPr>
          <w:p w:rsidR="000658F1" w:rsidRDefault="00556D30" w:rsidP="003916F1">
            <w:pPr>
              <w:pStyle w:val="Heading1"/>
              <w:jc w:val="center"/>
              <w:rPr>
                <w:szCs w:val="24"/>
              </w:rPr>
            </w:pPr>
            <w:r>
              <w:rPr>
                <w:szCs w:val="24"/>
              </w:rPr>
              <w:t>[17</w:t>
            </w:r>
            <w:r w:rsidR="000658F1">
              <w:rPr>
                <w:szCs w:val="24"/>
              </w:rPr>
              <w:t>]</w:t>
            </w:r>
          </w:p>
        </w:tc>
      </w:tr>
      <w:tr w:rsidR="000658F1" w:rsidTr="007E53F5">
        <w:trPr>
          <w:jc w:val="center"/>
        </w:trPr>
        <w:tc>
          <w:tcPr>
            <w:tcW w:w="1779" w:type="dxa"/>
          </w:tcPr>
          <w:p w:rsidR="000658F1" w:rsidRDefault="000658F1" w:rsidP="003916F1">
            <w:pPr>
              <w:pStyle w:val="Heading1"/>
              <w:jc w:val="left"/>
              <w:rPr>
                <w:sz w:val="12"/>
                <w:szCs w:val="12"/>
              </w:rPr>
            </w:pPr>
          </w:p>
        </w:tc>
        <w:tc>
          <w:tcPr>
            <w:tcW w:w="6470" w:type="dxa"/>
            <w:vAlign w:val="center"/>
          </w:tcPr>
          <w:p w:rsidR="000658F1" w:rsidRDefault="000658F1" w:rsidP="003916F1">
            <w:pPr>
              <w:pStyle w:val="Heading1"/>
              <w:jc w:val="left"/>
              <w:rPr>
                <w:b/>
                <w:bCs/>
                <w:sz w:val="12"/>
                <w:szCs w:val="12"/>
              </w:rPr>
            </w:pPr>
          </w:p>
        </w:tc>
        <w:tc>
          <w:tcPr>
            <w:tcW w:w="880" w:type="dxa"/>
            <w:vAlign w:val="center"/>
          </w:tcPr>
          <w:p w:rsidR="000658F1" w:rsidRDefault="000658F1" w:rsidP="003916F1">
            <w:pPr>
              <w:pStyle w:val="Heading1"/>
              <w:jc w:val="left"/>
              <w:rPr>
                <w:b/>
                <w:bCs/>
                <w:sz w:val="12"/>
                <w:szCs w:val="12"/>
              </w:rPr>
            </w:pPr>
          </w:p>
        </w:tc>
      </w:tr>
      <w:tr w:rsidR="000658F1" w:rsidTr="007E53F5">
        <w:trPr>
          <w:jc w:val="center"/>
        </w:trPr>
        <w:tc>
          <w:tcPr>
            <w:tcW w:w="1779" w:type="dxa"/>
          </w:tcPr>
          <w:p w:rsidR="000658F1" w:rsidRDefault="00556D30" w:rsidP="003916F1">
            <w:pPr>
              <w:pStyle w:val="Heading1"/>
              <w:jc w:val="left"/>
              <w:rPr>
                <w:szCs w:val="24"/>
              </w:rPr>
            </w:pPr>
            <w:r>
              <w:rPr>
                <w:szCs w:val="24"/>
              </w:rPr>
              <w:t>Chapter Two</w:t>
            </w:r>
            <w:r w:rsidR="000658F1">
              <w:rPr>
                <w:szCs w:val="24"/>
              </w:rPr>
              <w:t>:</w:t>
            </w:r>
          </w:p>
        </w:tc>
        <w:tc>
          <w:tcPr>
            <w:tcW w:w="6470" w:type="dxa"/>
            <w:vAlign w:val="center"/>
          </w:tcPr>
          <w:p w:rsidR="000658F1" w:rsidRDefault="000658F1" w:rsidP="003916F1">
            <w:pPr>
              <w:pStyle w:val="Heading1"/>
              <w:ind w:left="-16"/>
              <w:jc w:val="left"/>
              <w:rPr>
                <w:b/>
                <w:bCs/>
                <w:szCs w:val="24"/>
              </w:rPr>
            </w:pPr>
            <w:r>
              <w:rPr>
                <w:b/>
                <w:bCs/>
                <w:szCs w:val="24"/>
              </w:rPr>
              <w:t>Methodology</w:t>
            </w:r>
            <w:r w:rsidR="00556D30">
              <w:rPr>
                <w:b/>
                <w:bCs/>
                <w:szCs w:val="24"/>
              </w:rPr>
              <w:t xml:space="preserve"> and Data Quality</w:t>
            </w:r>
          </w:p>
        </w:tc>
        <w:tc>
          <w:tcPr>
            <w:tcW w:w="880" w:type="dxa"/>
            <w:vAlign w:val="center"/>
          </w:tcPr>
          <w:p w:rsidR="000658F1" w:rsidRDefault="000658F1" w:rsidP="00556D30">
            <w:pPr>
              <w:pStyle w:val="Heading1"/>
              <w:jc w:val="center"/>
              <w:rPr>
                <w:b/>
                <w:bCs/>
                <w:szCs w:val="24"/>
                <w:rtl/>
                <w:lang w:val="en-GB"/>
              </w:rPr>
            </w:pPr>
            <w:r>
              <w:rPr>
                <w:b/>
                <w:bCs/>
                <w:szCs w:val="24"/>
              </w:rPr>
              <w:t>[</w:t>
            </w:r>
            <w:r w:rsidR="00556D30">
              <w:rPr>
                <w:b/>
                <w:bCs/>
                <w:szCs w:val="24"/>
              </w:rPr>
              <w:t>19</w:t>
            </w:r>
            <w:r>
              <w:rPr>
                <w:b/>
                <w:bCs/>
                <w:szCs w:val="24"/>
              </w:rPr>
              <w:t>]</w:t>
            </w:r>
          </w:p>
        </w:tc>
      </w:tr>
      <w:tr w:rsidR="000658F1" w:rsidTr="007E53F5">
        <w:trPr>
          <w:trHeight w:val="340"/>
          <w:jc w:val="center"/>
        </w:trPr>
        <w:tc>
          <w:tcPr>
            <w:tcW w:w="1779" w:type="dxa"/>
          </w:tcPr>
          <w:p w:rsidR="000658F1" w:rsidRDefault="000658F1" w:rsidP="003916F1">
            <w:pPr>
              <w:pStyle w:val="Heading1"/>
              <w:ind w:left="567" w:hanging="247"/>
              <w:jc w:val="left"/>
              <w:rPr>
                <w:szCs w:val="24"/>
                <w:rtl/>
                <w:lang w:val="en-GB" w:eastAsia="en-GB"/>
              </w:rPr>
            </w:pPr>
          </w:p>
        </w:tc>
        <w:tc>
          <w:tcPr>
            <w:tcW w:w="6470" w:type="dxa"/>
            <w:vAlign w:val="center"/>
          </w:tcPr>
          <w:p w:rsidR="000658F1" w:rsidRDefault="00556D30" w:rsidP="00556D30">
            <w:pPr>
              <w:pStyle w:val="Heading1"/>
              <w:ind w:left="-16"/>
              <w:jc w:val="left"/>
              <w:rPr>
                <w:szCs w:val="24"/>
                <w:lang w:val="en-GB" w:eastAsia="en-GB"/>
              </w:rPr>
            </w:pPr>
            <w:r>
              <w:rPr>
                <w:szCs w:val="24"/>
                <w:lang w:val="en-GB" w:eastAsia="en-GB"/>
              </w:rPr>
              <w:t>2.1</w:t>
            </w:r>
            <w:r w:rsidR="000658F1">
              <w:rPr>
                <w:szCs w:val="24"/>
                <w:lang w:val="en-GB" w:eastAsia="en-GB"/>
              </w:rPr>
              <w:t xml:space="preserve"> </w:t>
            </w:r>
            <w:r w:rsidR="000658F1">
              <w:rPr>
                <w:szCs w:val="24"/>
                <w:lang w:eastAsia="en-GB"/>
              </w:rPr>
              <w:t xml:space="preserve"> </w:t>
            </w:r>
            <w:r>
              <w:rPr>
                <w:szCs w:val="24"/>
                <w:lang w:val="en-GB" w:eastAsia="en-GB"/>
              </w:rPr>
              <w:t>Coverage</w:t>
            </w:r>
          </w:p>
        </w:tc>
        <w:tc>
          <w:tcPr>
            <w:tcW w:w="880" w:type="dxa"/>
            <w:vAlign w:val="center"/>
          </w:tcPr>
          <w:p w:rsidR="000658F1" w:rsidRDefault="000658F1" w:rsidP="00556D30">
            <w:pPr>
              <w:pStyle w:val="Heading1"/>
              <w:jc w:val="center"/>
              <w:rPr>
                <w:szCs w:val="24"/>
              </w:rPr>
            </w:pPr>
            <w:r>
              <w:rPr>
                <w:szCs w:val="24"/>
              </w:rPr>
              <w:t>[</w:t>
            </w:r>
            <w:r w:rsidR="00556D30">
              <w:rPr>
                <w:szCs w:val="24"/>
              </w:rPr>
              <w:t>19</w:t>
            </w:r>
            <w:r>
              <w:rPr>
                <w:szCs w:val="24"/>
              </w:rPr>
              <w:t>]</w:t>
            </w:r>
          </w:p>
        </w:tc>
      </w:tr>
      <w:tr w:rsidR="000658F1" w:rsidTr="007E53F5">
        <w:trPr>
          <w:trHeight w:val="340"/>
          <w:jc w:val="center"/>
        </w:trPr>
        <w:tc>
          <w:tcPr>
            <w:tcW w:w="1779" w:type="dxa"/>
          </w:tcPr>
          <w:p w:rsidR="000658F1" w:rsidRDefault="000658F1" w:rsidP="003916F1">
            <w:pPr>
              <w:pStyle w:val="Heading1"/>
              <w:ind w:left="567" w:hanging="247"/>
              <w:jc w:val="left"/>
              <w:rPr>
                <w:szCs w:val="24"/>
                <w:lang w:val="en-GB" w:eastAsia="en-GB"/>
              </w:rPr>
            </w:pPr>
          </w:p>
        </w:tc>
        <w:tc>
          <w:tcPr>
            <w:tcW w:w="6470" w:type="dxa"/>
            <w:vAlign w:val="center"/>
          </w:tcPr>
          <w:p w:rsidR="000658F1" w:rsidRDefault="00556D30" w:rsidP="003916F1">
            <w:pPr>
              <w:pStyle w:val="Heading1"/>
              <w:ind w:left="-16"/>
              <w:jc w:val="left"/>
              <w:rPr>
                <w:szCs w:val="24"/>
                <w:lang w:val="en-GB" w:eastAsia="en-GB"/>
              </w:rPr>
            </w:pPr>
            <w:r>
              <w:rPr>
                <w:szCs w:val="24"/>
                <w:lang w:val="en-GB" w:eastAsia="en-GB"/>
              </w:rPr>
              <w:t>2.2</w:t>
            </w:r>
            <w:r w:rsidR="000658F1">
              <w:rPr>
                <w:szCs w:val="24"/>
                <w:lang w:val="en-GB" w:eastAsia="en-GB"/>
              </w:rPr>
              <w:t xml:space="preserve">  Data Sources</w:t>
            </w:r>
          </w:p>
        </w:tc>
        <w:tc>
          <w:tcPr>
            <w:tcW w:w="880" w:type="dxa"/>
            <w:vAlign w:val="center"/>
          </w:tcPr>
          <w:p w:rsidR="000658F1" w:rsidRDefault="000658F1" w:rsidP="00556D30">
            <w:pPr>
              <w:pStyle w:val="Heading1"/>
              <w:jc w:val="center"/>
              <w:rPr>
                <w:szCs w:val="24"/>
              </w:rPr>
            </w:pPr>
            <w:r>
              <w:rPr>
                <w:szCs w:val="24"/>
              </w:rPr>
              <w:t>[</w:t>
            </w:r>
            <w:r w:rsidR="00556D30">
              <w:rPr>
                <w:szCs w:val="24"/>
              </w:rPr>
              <w:t>19</w:t>
            </w:r>
            <w:r>
              <w:rPr>
                <w:szCs w:val="24"/>
              </w:rPr>
              <w:t>]</w:t>
            </w:r>
          </w:p>
        </w:tc>
      </w:tr>
      <w:tr w:rsidR="000658F1" w:rsidTr="007E53F5">
        <w:trPr>
          <w:trHeight w:val="340"/>
          <w:jc w:val="center"/>
        </w:trPr>
        <w:tc>
          <w:tcPr>
            <w:tcW w:w="1779" w:type="dxa"/>
          </w:tcPr>
          <w:p w:rsidR="000658F1" w:rsidRDefault="000658F1" w:rsidP="003916F1">
            <w:pPr>
              <w:pStyle w:val="Heading1"/>
              <w:ind w:left="567" w:hanging="247"/>
              <w:jc w:val="left"/>
              <w:rPr>
                <w:szCs w:val="24"/>
                <w:lang w:val="en-GB" w:eastAsia="en-GB"/>
              </w:rPr>
            </w:pPr>
          </w:p>
        </w:tc>
        <w:tc>
          <w:tcPr>
            <w:tcW w:w="6470" w:type="dxa"/>
            <w:vAlign w:val="center"/>
          </w:tcPr>
          <w:p w:rsidR="000658F1" w:rsidRDefault="00556D30" w:rsidP="003916F1">
            <w:pPr>
              <w:pStyle w:val="Heading1"/>
              <w:ind w:left="-16"/>
              <w:jc w:val="left"/>
              <w:rPr>
                <w:szCs w:val="24"/>
                <w:lang w:val="en-GB" w:eastAsia="en-GB"/>
              </w:rPr>
            </w:pPr>
            <w:r>
              <w:rPr>
                <w:szCs w:val="24"/>
                <w:lang w:val="en-GB" w:eastAsia="en-GB"/>
              </w:rPr>
              <w:t>2.3</w:t>
            </w:r>
            <w:r w:rsidR="000658F1">
              <w:rPr>
                <w:szCs w:val="24"/>
                <w:lang w:val="en-GB" w:eastAsia="en-GB"/>
              </w:rPr>
              <w:t xml:space="preserve">  Data Processing</w:t>
            </w:r>
          </w:p>
        </w:tc>
        <w:tc>
          <w:tcPr>
            <w:tcW w:w="880" w:type="dxa"/>
            <w:vAlign w:val="center"/>
          </w:tcPr>
          <w:p w:rsidR="000658F1" w:rsidRDefault="000658F1" w:rsidP="00556D30">
            <w:pPr>
              <w:pStyle w:val="Heading1"/>
              <w:jc w:val="center"/>
              <w:rPr>
                <w:szCs w:val="24"/>
              </w:rPr>
            </w:pPr>
            <w:r>
              <w:rPr>
                <w:szCs w:val="24"/>
              </w:rPr>
              <w:t>[</w:t>
            </w:r>
            <w:r w:rsidR="00556D30">
              <w:rPr>
                <w:szCs w:val="24"/>
              </w:rPr>
              <w:t>19</w:t>
            </w:r>
            <w:r>
              <w:rPr>
                <w:szCs w:val="24"/>
              </w:rPr>
              <w:t>]</w:t>
            </w:r>
          </w:p>
        </w:tc>
      </w:tr>
      <w:tr w:rsidR="004F482F" w:rsidTr="008376BF">
        <w:trPr>
          <w:trHeight w:val="340"/>
          <w:jc w:val="center"/>
        </w:trPr>
        <w:tc>
          <w:tcPr>
            <w:tcW w:w="1779" w:type="dxa"/>
          </w:tcPr>
          <w:p w:rsidR="004F482F" w:rsidRDefault="004F482F" w:rsidP="008376BF">
            <w:pPr>
              <w:pStyle w:val="Heading1"/>
              <w:ind w:left="-16"/>
              <w:jc w:val="left"/>
              <w:rPr>
                <w:szCs w:val="24"/>
                <w:rtl/>
                <w:lang w:val="en-GB" w:eastAsia="en-GB"/>
              </w:rPr>
            </w:pPr>
          </w:p>
        </w:tc>
        <w:tc>
          <w:tcPr>
            <w:tcW w:w="6470" w:type="dxa"/>
            <w:vAlign w:val="center"/>
          </w:tcPr>
          <w:p w:rsidR="004F482F" w:rsidRDefault="004F482F" w:rsidP="008376BF">
            <w:pPr>
              <w:pStyle w:val="Heading1"/>
              <w:ind w:left="-16"/>
              <w:jc w:val="left"/>
              <w:rPr>
                <w:szCs w:val="24"/>
                <w:lang w:val="en-GB" w:eastAsia="en-GB"/>
              </w:rPr>
            </w:pPr>
            <w:r>
              <w:rPr>
                <w:szCs w:val="24"/>
                <w:lang w:val="en-GB" w:eastAsia="en-GB"/>
              </w:rPr>
              <w:t>2.4  Accuracy of the Data</w:t>
            </w:r>
          </w:p>
        </w:tc>
        <w:tc>
          <w:tcPr>
            <w:tcW w:w="880" w:type="dxa"/>
            <w:vAlign w:val="center"/>
          </w:tcPr>
          <w:p w:rsidR="004F482F" w:rsidRDefault="004F482F" w:rsidP="008376BF">
            <w:pPr>
              <w:pStyle w:val="Heading1"/>
              <w:jc w:val="center"/>
              <w:rPr>
                <w:szCs w:val="24"/>
              </w:rPr>
            </w:pPr>
            <w:r>
              <w:rPr>
                <w:szCs w:val="24"/>
              </w:rPr>
              <w:t>[20]</w:t>
            </w:r>
          </w:p>
        </w:tc>
      </w:tr>
      <w:tr w:rsidR="000658F1" w:rsidTr="007E53F5">
        <w:trPr>
          <w:trHeight w:val="340"/>
          <w:jc w:val="center"/>
        </w:trPr>
        <w:tc>
          <w:tcPr>
            <w:tcW w:w="1779" w:type="dxa"/>
          </w:tcPr>
          <w:p w:rsidR="000658F1" w:rsidRDefault="000658F1" w:rsidP="003916F1">
            <w:pPr>
              <w:pStyle w:val="Heading1"/>
              <w:ind w:left="-16"/>
              <w:jc w:val="left"/>
              <w:rPr>
                <w:szCs w:val="24"/>
                <w:rtl/>
                <w:lang w:val="en-GB" w:eastAsia="en-GB"/>
              </w:rPr>
            </w:pPr>
          </w:p>
        </w:tc>
        <w:tc>
          <w:tcPr>
            <w:tcW w:w="6470" w:type="dxa"/>
            <w:vAlign w:val="center"/>
          </w:tcPr>
          <w:p w:rsidR="000658F1" w:rsidRDefault="00556D30" w:rsidP="004F482F">
            <w:pPr>
              <w:pStyle w:val="Heading1"/>
              <w:ind w:left="-16"/>
              <w:jc w:val="left"/>
              <w:rPr>
                <w:szCs w:val="24"/>
                <w:lang w:val="en-GB" w:eastAsia="en-GB"/>
              </w:rPr>
            </w:pPr>
            <w:r>
              <w:rPr>
                <w:szCs w:val="24"/>
                <w:lang w:val="en-GB" w:eastAsia="en-GB"/>
              </w:rPr>
              <w:t>2.</w:t>
            </w:r>
            <w:r w:rsidR="004F482F">
              <w:rPr>
                <w:szCs w:val="24"/>
                <w:lang w:val="en-GB" w:eastAsia="en-GB"/>
              </w:rPr>
              <w:t>5</w:t>
            </w:r>
            <w:r w:rsidR="000658F1">
              <w:rPr>
                <w:szCs w:val="24"/>
                <w:lang w:val="en-GB" w:eastAsia="en-GB"/>
              </w:rPr>
              <w:t xml:space="preserve">  </w:t>
            </w:r>
            <w:r w:rsidR="00C36C56" w:rsidRPr="00C36C56">
              <w:rPr>
                <w:szCs w:val="24"/>
                <w:lang w:val="en-GB" w:eastAsia="en-GB"/>
              </w:rPr>
              <w:t>Technical Notes</w:t>
            </w:r>
          </w:p>
        </w:tc>
        <w:tc>
          <w:tcPr>
            <w:tcW w:w="880" w:type="dxa"/>
            <w:vAlign w:val="center"/>
          </w:tcPr>
          <w:p w:rsidR="000658F1" w:rsidRDefault="000658F1" w:rsidP="00556D30">
            <w:pPr>
              <w:pStyle w:val="Heading1"/>
              <w:jc w:val="center"/>
              <w:rPr>
                <w:szCs w:val="24"/>
              </w:rPr>
            </w:pPr>
            <w:r>
              <w:rPr>
                <w:szCs w:val="24"/>
              </w:rPr>
              <w:t>[</w:t>
            </w:r>
            <w:r w:rsidR="00556D30">
              <w:rPr>
                <w:szCs w:val="24"/>
              </w:rPr>
              <w:t>20</w:t>
            </w:r>
            <w:r>
              <w:rPr>
                <w:szCs w:val="24"/>
              </w:rPr>
              <w:t>]</w:t>
            </w:r>
          </w:p>
        </w:tc>
      </w:tr>
      <w:tr w:rsidR="000658F1" w:rsidTr="007E53F5">
        <w:trPr>
          <w:jc w:val="center"/>
        </w:trPr>
        <w:tc>
          <w:tcPr>
            <w:tcW w:w="1779" w:type="dxa"/>
          </w:tcPr>
          <w:p w:rsidR="000658F1" w:rsidRDefault="000658F1" w:rsidP="003916F1">
            <w:pPr>
              <w:pStyle w:val="Heading1"/>
              <w:jc w:val="left"/>
              <w:rPr>
                <w:b/>
                <w:bCs/>
                <w:sz w:val="12"/>
                <w:szCs w:val="12"/>
              </w:rPr>
            </w:pPr>
          </w:p>
        </w:tc>
        <w:tc>
          <w:tcPr>
            <w:tcW w:w="6470" w:type="dxa"/>
            <w:vAlign w:val="center"/>
          </w:tcPr>
          <w:p w:rsidR="000658F1" w:rsidRDefault="000658F1" w:rsidP="003916F1">
            <w:pPr>
              <w:pStyle w:val="Heading1"/>
              <w:ind w:left="-16"/>
              <w:jc w:val="left"/>
              <w:rPr>
                <w:b/>
                <w:bCs/>
                <w:sz w:val="12"/>
                <w:szCs w:val="12"/>
              </w:rPr>
            </w:pPr>
          </w:p>
        </w:tc>
        <w:tc>
          <w:tcPr>
            <w:tcW w:w="880" w:type="dxa"/>
            <w:vAlign w:val="center"/>
          </w:tcPr>
          <w:p w:rsidR="000658F1" w:rsidRDefault="000658F1" w:rsidP="003916F1">
            <w:pPr>
              <w:pStyle w:val="Heading1"/>
              <w:jc w:val="left"/>
              <w:rPr>
                <w:b/>
                <w:bCs/>
                <w:sz w:val="12"/>
                <w:szCs w:val="12"/>
              </w:rPr>
            </w:pPr>
          </w:p>
        </w:tc>
      </w:tr>
      <w:tr w:rsidR="000658F1" w:rsidTr="007E53F5">
        <w:trPr>
          <w:jc w:val="center"/>
        </w:trPr>
        <w:tc>
          <w:tcPr>
            <w:tcW w:w="1779" w:type="dxa"/>
          </w:tcPr>
          <w:p w:rsidR="000658F1" w:rsidRPr="007E53F5" w:rsidRDefault="007E53F5" w:rsidP="003916F1">
            <w:pPr>
              <w:pStyle w:val="Heading8"/>
              <w:rPr>
                <w:rFonts w:cs="Simplified Arabic"/>
                <w:b w:val="0"/>
                <w:bCs w:val="0"/>
                <w:snapToGrid/>
                <w:szCs w:val="24"/>
              </w:rPr>
            </w:pPr>
            <w:r w:rsidRPr="007E53F5">
              <w:rPr>
                <w:rFonts w:cs="Simplified Arabic"/>
                <w:b w:val="0"/>
                <w:bCs w:val="0"/>
                <w:snapToGrid/>
                <w:szCs w:val="24"/>
              </w:rPr>
              <w:t>Chapter Three</w:t>
            </w:r>
          </w:p>
        </w:tc>
        <w:tc>
          <w:tcPr>
            <w:tcW w:w="6470" w:type="dxa"/>
            <w:vAlign w:val="center"/>
          </w:tcPr>
          <w:p w:rsidR="000658F1" w:rsidRDefault="007E53F5" w:rsidP="003916F1">
            <w:pPr>
              <w:pStyle w:val="Heading1"/>
              <w:ind w:left="-16"/>
              <w:jc w:val="left"/>
              <w:rPr>
                <w:b/>
                <w:bCs/>
                <w:szCs w:val="24"/>
              </w:rPr>
            </w:pPr>
            <w:r>
              <w:rPr>
                <w:b/>
                <w:bCs/>
                <w:szCs w:val="24"/>
              </w:rPr>
              <w:t>Concept and Definitions</w:t>
            </w:r>
          </w:p>
        </w:tc>
        <w:tc>
          <w:tcPr>
            <w:tcW w:w="880" w:type="dxa"/>
            <w:vAlign w:val="center"/>
          </w:tcPr>
          <w:p w:rsidR="000658F1" w:rsidRDefault="000658F1" w:rsidP="00CC6D9C">
            <w:pPr>
              <w:pStyle w:val="Heading1"/>
              <w:jc w:val="center"/>
              <w:rPr>
                <w:b/>
                <w:bCs/>
                <w:szCs w:val="24"/>
                <w:rtl/>
                <w:lang w:val="en-GB"/>
              </w:rPr>
            </w:pPr>
            <w:r>
              <w:rPr>
                <w:b/>
                <w:bCs/>
                <w:szCs w:val="24"/>
              </w:rPr>
              <w:t>[</w:t>
            </w:r>
            <w:r w:rsidR="00CC6D9C">
              <w:rPr>
                <w:b/>
                <w:bCs/>
                <w:szCs w:val="24"/>
              </w:rPr>
              <w:t>21</w:t>
            </w:r>
            <w:r>
              <w:rPr>
                <w:b/>
                <w:bCs/>
                <w:szCs w:val="24"/>
              </w:rPr>
              <w:t>]</w:t>
            </w:r>
          </w:p>
        </w:tc>
      </w:tr>
      <w:tr w:rsidR="000658F1" w:rsidTr="007E53F5">
        <w:trPr>
          <w:jc w:val="center"/>
        </w:trPr>
        <w:tc>
          <w:tcPr>
            <w:tcW w:w="1779" w:type="dxa"/>
          </w:tcPr>
          <w:p w:rsidR="000658F1" w:rsidRDefault="000658F1" w:rsidP="003916F1">
            <w:pPr>
              <w:pStyle w:val="Heading1"/>
              <w:jc w:val="left"/>
              <w:rPr>
                <w:b/>
                <w:bCs/>
                <w:sz w:val="12"/>
                <w:szCs w:val="12"/>
              </w:rPr>
            </w:pPr>
          </w:p>
        </w:tc>
        <w:tc>
          <w:tcPr>
            <w:tcW w:w="6470" w:type="dxa"/>
            <w:vAlign w:val="center"/>
          </w:tcPr>
          <w:p w:rsidR="000658F1" w:rsidRDefault="000658F1" w:rsidP="003916F1">
            <w:pPr>
              <w:pStyle w:val="Heading1"/>
              <w:ind w:left="-16"/>
              <w:jc w:val="left"/>
              <w:rPr>
                <w:b/>
                <w:bCs/>
                <w:sz w:val="12"/>
                <w:szCs w:val="12"/>
              </w:rPr>
            </w:pPr>
          </w:p>
        </w:tc>
        <w:tc>
          <w:tcPr>
            <w:tcW w:w="880" w:type="dxa"/>
            <w:vAlign w:val="center"/>
          </w:tcPr>
          <w:p w:rsidR="000658F1" w:rsidRDefault="000658F1" w:rsidP="003916F1">
            <w:pPr>
              <w:pStyle w:val="Heading1"/>
              <w:jc w:val="left"/>
              <w:rPr>
                <w:b/>
                <w:bCs/>
                <w:sz w:val="12"/>
                <w:szCs w:val="12"/>
              </w:rPr>
            </w:pPr>
          </w:p>
        </w:tc>
      </w:tr>
      <w:tr w:rsidR="000658F1" w:rsidTr="007E53F5">
        <w:trPr>
          <w:jc w:val="center"/>
        </w:trPr>
        <w:tc>
          <w:tcPr>
            <w:tcW w:w="1779" w:type="dxa"/>
          </w:tcPr>
          <w:p w:rsidR="000658F1" w:rsidRDefault="000658F1" w:rsidP="003916F1">
            <w:pPr>
              <w:pStyle w:val="Heading8"/>
              <w:rPr>
                <w:rFonts w:cs="Simplified Arabic"/>
                <w:snapToGrid/>
                <w:szCs w:val="24"/>
              </w:rPr>
            </w:pPr>
          </w:p>
        </w:tc>
        <w:tc>
          <w:tcPr>
            <w:tcW w:w="6470" w:type="dxa"/>
            <w:vAlign w:val="center"/>
          </w:tcPr>
          <w:p w:rsidR="000658F1" w:rsidRDefault="007E53F5" w:rsidP="003916F1">
            <w:pPr>
              <w:pStyle w:val="Heading1"/>
              <w:ind w:left="-16"/>
              <w:jc w:val="left"/>
              <w:rPr>
                <w:b/>
                <w:bCs/>
                <w:szCs w:val="24"/>
              </w:rPr>
            </w:pPr>
            <w:r>
              <w:rPr>
                <w:b/>
                <w:bCs/>
                <w:szCs w:val="24"/>
              </w:rPr>
              <w:t>References</w:t>
            </w:r>
          </w:p>
        </w:tc>
        <w:tc>
          <w:tcPr>
            <w:tcW w:w="880" w:type="dxa"/>
            <w:vAlign w:val="center"/>
          </w:tcPr>
          <w:p w:rsidR="000658F1" w:rsidRDefault="007D1E66" w:rsidP="007D1E66">
            <w:pPr>
              <w:pStyle w:val="Heading1"/>
              <w:jc w:val="center"/>
              <w:rPr>
                <w:b/>
                <w:bCs/>
                <w:szCs w:val="24"/>
              </w:rPr>
            </w:pPr>
            <w:r>
              <w:rPr>
                <w:b/>
                <w:bCs/>
                <w:szCs w:val="24"/>
              </w:rPr>
              <w:t>[25]</w:t>
            </w:r>
          </w:p>
        </w:tc>
      </w:tr>
      <w:tr w:rsidR="000658F1" w:rsidTr="007E53F5">
        <w:trPr>
          <w:jc w:val="center"/>
        </w:trPr>
        <w:tc>
          <w:tcPr>
            <w:tcW w:w="1779" w:type="dxa"/>
          </w:tcPr>
          <w:p w:rsidR="000658F1" w:rsidRDefault="000658F1" w:rsidP="003916F1">
            <w:pPr>
              <w:pStyle w:val="Heading1"/>
              <w:jc w:val="left"/>
              <w:rPr>
                <w:b/>
                <w:bCs/>
                <w:sz w:val="12"/>
                <w:szCs w:val="12"/>
              </w:rPr>
            </w:pPr>
          </w:p>
        </w:tc>
        <w:tc>
          <w:tcPr>
            <w:tcW w:w="6470" w:type="dxa"/>
            <w:vAlign w:val="center"/>
          </w:tcPr>
          <w:p w:rsidR="000658F1" w:rsidRDefault="000658F1" w:rsidP="003916F1">
            <w:pPr>
              <w:pStyle w:val="Heading1"/>
              <w:ind w:left="-16"/>
              <w:jc w:val="left"/>
              <w:rPr>
                <w:b/>
                <w:bCs/>
                <w:sz w:val="12"/>
                <w:szCs w:val="12"/>
              </w:rPr>
            </w:pPr>
          </w:p>
        </w:tc>
        <w:tc>
          <w:tcPr>
            <w:tcW w:w="880" w:type="dxa"/>
            <w:vAlign w:val="center"/>
          </w:tcPr>
          <w:p w:rsidR="000658F1" w:rsidRDefault="000658F1" w:rsidP="003916F1">
            <w:pPr>
              <w:pStyle w:val="Heading1"/>
              <w:jc w:val="left"/>
              <w:rPr>
                <w:b/>
                <w:bCs/>
                <w:sz w:val="12"/>
                <w:szCs w:val="12"/>
              </w:rPr>
            </w:pPr>
          </w:p>
        </w:tc>
      </w:tr>
      <w:tr w:rsidR="00911D6E" w:rsidRPr="00911D6E" w:rsidTr="007E53F5">
        <w:trPr>
          <w:jc w:val="center"/>
        </w:trPr>
        <w:tc>
          <w:tcPr>
            <w:tcW w:w="1779" w:type="dxa"/>
          </w:tcPr>
          <w:p w:rsidR="00911D6E" w:rsidRPr="00911D6E" w:rsidRDefault="00911D6E" w:rsidP="00911D6E">
            <w:pPr>
              <w:pStyle w:val="Heading1"/>
              <w:ind w:left="-16"/>
              <w:jc w:val="left"/>
              <w:rPr>
                <w:b/>
                <w:bCs/>
                <w:szCs w:val="24"/>
              </w:rPr>
            </w:pPr>
          </w:p>
        </w:tc>
        <w:tc>
          <w:tcPr>
            <w:tcW w:w="6470" w:type="dxa"/>
            <w:vAlign w:val="center"/>
          </w:tcPr>
          <w:p w:rsidR="00911D6E" w:rsidRPr="00911D6E" w:rsidRDefault="00911D6E" w:rsidP="003916F1">
            <w:pPr>
              <w:pStyle w:val="Heading1"/>
              <w:ind w:left="-16"/>
              <w:jc w:val="left"/>
              <w:rPr>
                <w:b/>
                <w:bCs/>
                <w:szCs w:val="24"/>
              </w:rPr>
            </w:pPr>
            <w:r w:rsidRPr="00911D6E">
              <w:rPr>
                <w:b/>
                <w:bCs/>
                <w:szCs w:val="24"/>
              </w:rPr>
              <w:t>Table</w:t>
            </w:r>
            <w:r>
              <w:rPr>
                <w:b/>
                <w:bCs/>
                <w:szCs w:val="24"/>
              </w:rPr>
              <w:t>s</w:t>
            </w:r>
            <w:r w:rsidRPr="00911D6E">
              <w:rPr>
                <w:b/>
                <w:bCs/>
                <w:szCs w:val="24"/>
              </w:rPr>
              <w:t xml:space="preserve"> </w:t>
            </w:r>
          </w:p>
        </w:tc>
        <w:tc>
          <w:tcPr>
            <w:tcW w:w="880" w:type="dxa"/>
            <w:vAlign w:val="center"/>
          </w:tcPr>
          <w:p w:rsidR="00911D6E" w:rsidRDefault="00911D6E" w:rsidP="00A7565D">
            <w:pPr>
              <w:pStyle w:val="Heading1"/>
              <w:jc w:val="center"/>
              <w:rPr>
                <w:b/>
                <w:bCs/>
                <w:szCs w:val="24"/>
              </w:rPr>
            </w:pPr>
            <w:r>
              <w:rPr>
                <w:b/>
                <w:bCs/>
                <w:szCs w:val="24"/>
                <w:lang w:val="en-GB"/>
              </w:rPr>
              <w:t>45</w:t>
            </w:r>
          </w:p>
        </w:tc>
      </w:tr>
      <w:tr w:rsidR="00911D6E" w:rsidRPr="00911D6E" w:rsidTr="007E53F5">
        <w:trPr>
          <w:jc w:val="center"/>
        </w:trPr>
        <w:tc>
          <w:tcPr>
            <w:tcW w:w="1779" w:type="dxa"/>
          </w:tcPr>
          <w:p w:rsidR="00911D6E" w:rsidRPr="00911D6E" w:rsidRDefault="00911D6E" w:rsidP="00911D6E">
            <w:pPr>
              <w:pStyle w:val="Heading1"/>
              <w:ind w:left="-16"/>
              <w:jc w:val="left"/>
              <w:rPr>
                <w:b/>
                <w:bCs/>
                <w:szCs w:val="24"/>
              </w:rPr>
            </w:pPr>
          </w:p>
        </w:tc>
        <w:tc>
          <w:tcPr>
            <w:tcW w:w="6470" w:type="dxa"/>
            <w:vAlign w:val="center"/>
          </w:tcPr>
          <w:p w:rsidR="00911D6E" w:rsidRPr="00911D6E" w:rsidRDefault="00911D6E" w:rsidP="003916F1">
            <w:pPr>
              <w:pStyle w:val="Heading1"/>
              <w:ind w:left="-16"/>
              <w:jc w:val="left"/>
              <w:rPr>
                <w:b/>
                <w:bCs/>
                <w:szCs w:val="24"/>
              </w:rPr>
            </w:pPr>
          </w:p>
        </w:tc>
        <w:tc>
          <w:tcPr>
            <w:tcW w:w="880" w:type="dxa"/>
            <w:vAlign w:val="center"/>
          </w:tcPr>
          <w:p w:rsidR="00911D6E" w:rsidRPr="00911D6E" w:rsidRDefault="00911D6E" w:rsidP="00911D6E">
            <w:pPr>
              <w:pStyle w:val="Heading1"/>
              <w:ind w:left="-16"/>
              <w:jc w:val="left"/>
              <w:rPr>
                <w:b/>
                <w:bCs/>
                <w:szCs w:val="24"/>
              </w:rPr>
            </w:pPr>
          </w:p>
        </w:tc>
      </w:tr>
    </w:tbl>
    <w:p w:rsidR="000658F1" w:rsidRPr="00911D6E" w:rsidRDefault="000658F1" w:rsidP="00911D6E">
      <w:pPr>
        <w:pStyle w:val="Heading1"/>
        <w:ind w:left="-16"/>
        <w:jc w:val="left"/>
        <w:rPr>
          <w:b/>
          <w:bCs/>
          <w:szCs w:val="24"/>
        </w:rPr>
      </w:pPr>
    </w:p>
    <w:p w:rsidR="000658F1" w:rsidRDefault="000658F1" w:rsidP="000658F1">
      <w:pPr>
        <w:pStyle w:val="Heading1"/>
      </w:pPr>
      <w:r>
        <w:br w:type="page"/>
      </w:r>
    </w:p>
    <w:p w:rsidR="000658F1" w:rsidRDefault="000658F1" w:rsidP="000658F1">
      <w:pPr>
        <w:jc w:val="center"/>
        <w:rPr>
          <w:b/>
          <w:bCs/>
          <w:szCs w:val="24"/>
        </w:rPr>
      </w:pPr>
      <w:r>
        <w:rPr>
          <w:b/>
          <w:bCs/>
          <w:szCs w:val="24"/>
        </w:rPr>
        <w:lastRenderedPageBreak/>
        <w:t xml:space="preserve"> </w:t>
      </w:r>
    </w:p>
    <w:p w:rsidR="001A3F81" w:rsidRDefault="000658F1" w:rsidP="001A3F81">
      <w:pPr>
        <w:pStyle w:val="Heading1"/>
        <w:jc w:val="center"/>
        <w:rPr>
          <w:b/>
          <w:bCs/>
          <w:sz w:val="28"/>
          <w:szCs w:val="28"/>
        </w:rPr>
      </w:pPr>
      <w:r>
        <w:rPr>
          <w:b/>
          <w:bCs/>
          <w:szCs w:val="24"/>
        </w:rPr>
        <w:br w:type="page"/>
      </w:r>
      <w:r w:rsidR="001A3F81">
        <w:rPr>
          <w:b/>
          <w:bCs/>
          <w:sz w:val="28"/>
          <w:szCs w:val="28"/>
        </w:rPr>
        <w:lastRenderedPageBreak/>
        <w:t>List of Tables</w:t>
      </w:r>
    </w:p>
    <w:p w:rsidR="001A3F81" w:rsidRDefault="001A3F81" w:rsidP="001A3F81"/>
    <w:tbl>
      <w:tblPr>
        <w:tblW w:w="0" w:type="auto"/>
        <w:jc w:val="center"/>
        <w:tblLook w:val="0000"/>
      </w:tblPr>
      <w:tblGrid>
        <w:gridCol w:w="1238"/>
        <w:gridCol w:w="7179"/>
        <w:gridCol w:w="850"/>
      </w:tblGrid>
      <w:tr w:rsidR="001A3F81" w:rsidTr="00932B3F">
        <w:trPr>
          <w:cantSplit/>
          <w:tblHeader/>
          <w:jc w:val="center"/>
        </w:trPr>
        <w:tc>
          <w:tcPr>
            <w:tcW w:w="1238" w:type="dxa"/>
          </w:tcPr>
          <w:p w:rsidR="001A3F81" w:rsidRDefault="001A3F81" w:rsidP="003916F1">
            <w:pPr>
              <w:pStyle w:val="Heading2"/>
              <w:spacing w:before="100" w:beforeAutospacing="1"/>
              <w:jc w:val="left"/>
              <w:rPr>
                <w:b/>
                <w:bCs/>
              </w:rPr>
            </w:pPr>
            <w:r>
              <w:rPr>
                <w:b/>
                <w:bCs/>
              </w:rPr>
              <w:t>Table</w:t>
            </w:r>
          </w:p>
        </w:tc>
        <w:tc>
          <w:tcPr>
            <w:tcW w:w="7179" w:type="dxa"/>
          </w:tcPr>
          <w:p w:rsidR="001A3F81" w:rsidRDefault="001A3F81" w:rsidP="003916F1">
            <w:pPr>
              <w:spacing w:before="100" w:beforeAutospacing="1"/>
              <w:jc w:val="lowKashida"/>
              <w:rPr>
                <w:rFonts w:cs="Times New Roman"/>
                <w:b/>
                <w:bCs/>
                <w:sz w:val="24"/>
                <w:szCs w:val="24"/>
              </w:rPr>
            </w:pPr>
          </w:p>
        </w:tc>
        <w:tc>
          <w:tcPr>
            <w:tcW w:w="850" w:type="dxa"/>
          </w:tcPr>
          <w:p w:rsidR="001A3F81" w:rsidRDefault="001A3F81" w:rsidP="003916F1">
            <w:pPr>
              <w:pStyle w:val="Heading1"/>
              <w:spacing w:before="100" w:beforeAutospacing="1"/>
              <w:jc w:val="center"/>
              <w:rPr>
                <w:rFonts w:cs="Times New Roman"/>
                <w:b/>
                <w:bCs/>
                <w:szCs w:val="24"/>
                <w:rtl/>
                <w:lang w:val="en-GB"/>
              </w:rPr>
            </w:pPr>
            <w:r>
              <w:rPr>
                <w:rFonts w:cs="Times New Roman"/>
                <w:b/>
                <w:bCs/>
                <w:szCs w:val="24"/>
                <w:lang w:val="en-GB"/>
              </w:rPr>
              <w:t>Page</w:t>
            </w:r>
          </w:p>
        </w:tc>
      </w:tr>
      <w:tr w:rsidR="001A3F81" w:rsidTr="00932B3F">
        <w:trPr>
          <w:trHeight w:hRule="exact" w:val="113"/>
          <w:jc w:val="center"/>
        </w:trPr>
        <w:tc>
          <w:tcPr>
            <w:tcW w:w="1238" w:type="dxa"/>
          </w:tcPr>
          <w:p w:rsidR="001A3F81" w:rsidRDefault="001A3F81" w:rsidP="003916F1">
            <w:pPr>
              <w:spacing w:before="100" w:beforeAutospacing="1"/>
              <w:jc w:val="lowKashida"/>
              <w:rPr>
                <w:rFonts w:cs="Times New Roman"/>
                <w:b/>
                <w:bCs/>
                <w:sz w:val="24"/>
                <w:szCs w:val="24"/>
              </w:rPr>
            </w:pPr>
          </w:p>
        </w:tc>
        <w:tc>
          <w:tcPr>
            <w:tcW w:w="7179" w:type="dxa"/>
          </w:tcPr>
          <w:p w:rsidR="001A3F81" w:rsidRDefault="001A3F81" w:rsidP="003916F1">
            <w:pPr>
              <w:spacing w:before="100" w:beforeAutospacing="1"/>
              <w:jc w:val="lowKashida"/>
              <w:rPr>
                <w:rFonts w:cs="Times New Roman"/>
                <w:sz w:val="24"/>
                <w:szCs w:val="24"/>
              </w:rPr>
            </w:pPr>
          </w:p>
        </w:tc>
        <w:tc>
          <w:tcPr>
            <w:tcW w:w="850" w:type="dxa"/>
          </w:tcPr>
          <w:p w:rsidR="001A3F81" w:rsidRDefault="001A3F81" w:rsidP="003916F1">
            <w:pPr>
              <w:spacing w:before="100" w:beforeAutospacing="1"/>
              <w:jc w:val="center"/>
              <w:rPr>
                <w:rFonts w:cs="Times New Roman"/>
                <w:b/>
                <w:bCs/>
                <w:sz w:val="24"/>
                <w:szCs w:val="24"/>
                <w:lang w:val="en-GB"/>
              </w:rPr>
            </w:pPr>
          </w:p>
        </w:tc>
      </w:tr>
      <w:tr w:rsidR="00E11A11" w:rsidTr="00932B3F">
        <w:trPr>
          <w:jc w:val="center"/>
        </w:trPr>
        <w:tc>
          <w:tcPr>
            <w:tcW w:w="1238" w:type="dxa"/>
          </w:tcPr>
          <w:p w:rsidR="00E11A11" w:rsidRDefault="00E11A11" w:rsidP="00A7565D">
            <w:pPr>
              <w:spacing w:before="100" w:beforeAutospacing="1"/>
              <w:jc w:val="lowKashida"/>
              <w:rPr>
                <w:rFonts w:cs="Times New Roman"/>
                <w:b/>
                <w:bCs/>
                <w:sz w:val="24"/>
                <w:szCs w:val="24"/>
                <w:rtl/>
                <w:lang w:val="en-GB"/>
              </w:rPr>
            </w:pPr>
            <w:r>
              <w:rPr>
                <w:rFonts w:cs="Times New Roman"/>
                <w:b/>
                <w:bCs/>
                <w:sz w:val="24"/>
                <w:szCs w:val="24"/>
              </w:rPr>
              <w:t xml:space="preserve">Table 1: </w:t>
            </w:r>
          </w:p>
        </w:tc>
        <w:tc>
          <w:tcPr>
            <w:tcW w:w="7179" w:type="dxa"/>
          </w:tcPr>
          <w:p w:rsidR="00E11A11" w:rsidRDefault="00E11A11" w:rsidP="003916F1">
            <w:pPr>
              <w:spacing w:before="100" w:beforeAutospacing="1"/>
              <w:jc w:val="lowKashida"/>
              <w:rPr>
                <w:rFonts w:cs="Times New Roman"/>
                <w:sz w:val="24"/>
                <w:szCs w:val="24"/>
              </w:rPr>
            </w:pPr>
            <w:r>
              <w:rPr>
                <w:rFonts w:cs="Times New Roman"/>
                <w:sz w:val="24"/>
                <w:szCs w:val="24"/>
              </w:rPr>
              <w:t>Selected Indicators about Occupation Sites in the West Bank</w:t>
            </w:r>
          </w:p>
        </w:tc>
        <w:tc>
          <w:tcPr>
            <w:tcW w:w="850" w:type="dxa"/>
          </w:tcPr>
          <w:p w:rsidR="00E11A11" w:rsidRDefault="00E11A11" w:rsidP="00A7565D">
            <w:pPr>
              <w:spacing w:before="100" w:beforeAutospacing="1"/>
              <w:jc w:val="center"/>
              <w:rPr>
                <w:rFonts w:cs="Times New Roman"/>
                <w:b/>
                <w:bCs/>
                <w:sz w:val="24"/>
                <w:szCs w:val="24"/>
                <w:rtl/>
                <w:lang w:val="en-GB"/>
              </w:rPr>
            </w:pPr>
            <w:r>
              <w:rPr>
                <w:rFonts w:cs="Times New Roman"/>
                <w:b/>
                <w:bCs/>
                <w:sz w:val="24"/>
                <w:szCs w:val="24"/>
                <w:lang w:val="en-GB"/>
              </w:rPr>
              <w:t>47</w:t>
            </w:r>
          </w:p>
        </w:tc>
      </w:tr>
      <w:tr w:rsidR="00E11A11" w:rsidRPr="00E11A11" w:rsidTr="00932B3F">
        <w:trPr>
          <w:trHeight w:hRule="exact" w:val="113"/>
          <w:jc w:val="center"/>
        </w:trPr>
        <w:tc>
          <w:tcPr>
            <w:tcW w:w="1238" w:type="dxa"/>
          </w:tcPr>
          <w:p w:rsidR="00E11A11" w:rsidRDefault="00E11A11" w:rsidP="00A7565D">
            <w:pPr>
              <w:spacing w:before="100" w:beforeAutospacing="1"/>
              <w:jc w:val="lowKashida"/>
              <w:rPr>
                <w:rFonts w:cs="Times New Roman"/>
                <w:b/>
                <w:bCs/>
                <w:sz w:val="24"/>
                <w:szCs w:val="24"/>
              </w:rPr>
            </w:pPr>
          </w:p>
        </w:tc>
        <w:tc>
          <w:tcPr>
            <w:tcW w:w="7179" w:type="dxa"/>
          </w:tcPr>
          <w:p w:rsidR="00E11A11" w:rsidRPr="00E11A11" w:rsidRDefault="00E11A11" w:rsidP="003916F1">
            <w:pPr>
              <w:spacing w:before="100" w:beforeAutospacing="1"/>
              <w:jc w:val="lowKashida"/>
              <w:rPr>
                <w:rFonts w:cs="Times New Roman"/>
                <w:b/>
                <w:bCs/>
                <w:sz w:val="24"/>
                <w:szCs w:val="24"/>
              </w:rPr>
            </w:pPr>
          </w:p>
        </w:tc>
        <w:tc>
          <w:tcPr>
            <w:tcW w:w="850" w:type="dxa"/>
          </w:tcPr>
          <w:p w:rsidR="00E11A11" w:rsidRDefault="00E11A11" w:rsidP="00A7565D">
            <w:pPr>
              <w:spacing w:before="100" w:beforeAutospacing="1"/>
              <w:jc w:val="center"/>
              <w:rPr>
                <w:rFonts w:cs="Times New Roman"/>
                <w:b/>
                <w:bCs/>
                <w:sz w:val="24"/>
                <w:szCs w:val="24"/>
                <w:lang w:val="en-GB"/>
              </w:rPr>
            </w:pPr>
          </w:p>
        </w:tc>
      </w:tr>
      <w:tr w:rsidR="00E11A11" w:rsidTr="00932B3F">
        <w:trPr>
          <w:jc w:val="center"/>
        </w:trPr>
        <w:tc>
          <w:tcPr>
            <w:tcW w:w="1238" w:type="dxa"/>
          </w:tcPr>
          <w:p w:rsidR="00E11A11" w:rsidRDefault="00E11A11" w:rsidP="00A7565D">
            <w:pPr>
              <w:spacing w:before="100" w:beforeAutospacing="1"/>
              <w:jc w:val="lowKashida"/>
              <w:rPr>
                <w:rFonts w:cs="Times New Roman"/>
                <w:b/>
                <w:bCs/>
                <w:sz w:val="24"/>
                <w:szCs w:val="24"/>
                <w:rtl/>
                <w:lang w:val="en-GB"/>
              </w:rPr>
            </w:pPr>
            <w:r>
              <w:rPr>
                <w:rFonts w:cs="Times New Roman"/>
                <w:b/>
                <w:bCs/>
                <w:sz w:val="24"/>
                <w:szCs w:val="24"/>
              </w:rPr>
              <w:t xml:space="preserve">Table 2:  </w:t>
            </w:r>
          </w:p>
        </w:tc>
        <w:tc>
          <w:tcPr>
            <w:tcW w:w="7179" w:type="dxa"/>
          </w:tcPr>
          <w:p w:rsidR="00E11A11" w:rsidRDefault="00E11A11" w:rsidP="003916F1">
            <w:pPr>
              <w:spacing w:before="100" w:beforeAutospacing="1"/>
              <w:jc w:val="lowKashida"/>
              <w:rPr>
                <w:rFonts w:cs="Times New Roman"/>
                <w:sz w:val="24"/>
                <w:szCs w:val="24"/>
                <w:rtl/>
                <w:lang w:val="en-GB"/>
              </w:rPr>
            </w:pPr>
            <w:r>
              <w:rPr>
                <w:rFonts w:cs="Times New Roman"/>
                <w:sz w:val="24"/>
                <w:szCs w:val="24"/>
              </w:rPr>
              <w:t>Number of Settlements in the West Bank, by Governorate and Classification, 2010</w:t>
            </w:r>
          </w:p>
        </w:tc>
        <w:tc>
          <w:tcPr>
            <w:tcW w:w="850" w:type="dxa"/>
          </w:tcPr>
          <w:p w:rsidR="00E11A11" w:rsidRDefault="00E11A11" w:rsidP="00A7565D">
            <w:pPr>
              <w:spacing w:before="100" w:beforeAutospacing="1"/>
              <w:jc w:val="center"/>
              <w:rPr>
                <w:rFonts w:cs="Times New Roman"/>
                <w:b/>
                <w:bCs/>
                <w:sz w:val="24"/>
                <w:szCs w:val="24"/>
                <w:rtl/>
                <w:lang w:val="en-GB"/>
              </w:rPr>
            </w:pPr>
            <w:r>
              <w:rPr>
                <w:rFonts w:cs="Times New Roman"/>
                <w:b/>
                <w:bCs/>
                <w:sz w:val="24"/>
                <w:szCs w:val="24"/>
                <w:lang w:val="en-GB"/>
              </w:rPr>
              <w:t>48</w:t>
            </w:r>
          </w:p>
        </w:tc>
      </w:tr>
      <w:tr w:rsidR="00E11A11" w:rsidTr="00932B3F">
        <w:trPr>
          <w:trHeight w:hRule="exact" w:val="113"/>
          <w:jc w:val="center"/>
        </w:trPr>
        <w:tc>
          <w:tcPr>
            <w:tcW w:w="1238" w:type="dxa"/>
          </w:tcPr>
          <w:p w:rsidR="00E11A11" w:rsidRDefault="00E11A11" w:rsidP="00A7565D">
            <w:pPr>
              <w:spacing w:before="100" w:beforeAutospacing="1"/>
              <w:jc w:val="lowKashida"/>
              <w:rPr>
                <w:rFonts w:cs="Times New Roman"/>
                <w:b/>
                <w:bCs/>
                <w:sz w:val="24"/>
                <w:szCs w:val="24"/>
              </w:rPr>
            </w:pPr>
          </w:p>
        </w:tc>
        <w:tc>
          <w:tcPr>
            <w:tcW w:w="7179" w:type="dxa"/>
          </w:tcPr>
          <w:p w:rsidR="00E11A11" w:rsidRDefault="00E11A11" w:rsidP="003916F1">
            <w:pPr>
              <w:spacing w:before="100" w:beforeAutospacing="1"/>
              <w:jc w:val="lowKashida"/>
              <w:rPr>
                <w:rFonts w:cs="Times New Roman"/>
                <w:sz w:val="24"/>
                <w:szCs w:val="24"/>
              </w:rPr>
            </w:pPr>
          </w:p>
        </w:tc>
        <w:tc>
          <w:tcPr>
            <w:tcW w:w="850" w:type="dxa"/>
          </w:tcPr>
          <w:p w:rsidR="00E11A11" w:rsidRDefault="00E11A11" w:rsidP="00A7565D">
            <w:pPr>
              <w:spacing w:before="100" w:beforeAutospacing="1"/>
              <w:jc w:val="center"/>
              <w:rPr>
                <w:rFonts w:cs="Times New Roman"/>
                <w:b/>
                <w:bCs/>
                <w:sz w:val="24"/>
                <w:szCs w:val="24"/>
                <w:lang w:val="en-GB"/>
              </w:rPr>
            </w:pPr>
          </w:p>
        </w:tc>
      </w:tr>
      <w:tr w:rsidR="00E11A11" w:rsidTr="00932B3F">
        <w:trPr>
          <w:jc w:val="center"/>
        </w:trPr>
        <w:tc>
          <w:tcPr>
            <w:tcW w:w="1238" w:type="dxa"/>
          </w:tcPr>
          <w:p w:rsidR="00E11A11" w:rsidRDefault="00E11A11" w:rsidP="00A7565D">
            <w:pPr>
              <w:spacing w:before="100" w:beforeAutospacing="1"/>
              <w:jc w:val="lowKashida"/>
              <w:rPr>
                <w:rFonts w:cs="Times New Roman"/>
                <w:b/>
                <w:bCs/>
                <w:sz w:val="24"/>
                <w:szCs w:val="24"/>
                <w:rtl/>
                <w:lang w:val="en-GB"/>
              </w:rPr>
            </w:pPr>
            <w:r>
              <w:rPr>
                <w:rFonts w:cs="Times New Roman"/>
                <w:b/>
                <w:bCs/>
                <w:sz w:val="24"/>
                <w:szCs w:val="24"/>
              </w:rPr>
              <w:t xml:space="preserve">Table 3: </w:t>
            </w:r>
          </w:p>
        </w:tc>
        <w:tc>
          <w:tcPr>
            <w:tcW w:w="7179" w:type="dxa"/>
          </w:tcPr>
          <w:p w:rsidR="00E11A11" w:rsidRDefault="00E11A11" w:rsidP="003916F1">
            <w:pPr>
              <w:spacing w:before="100" w:beforeAutospacing="1"/>
              <w:jc w:val="lowKashida"/>
              <w:rPr>
                <w:rFonts w:cs="Times New Roman"/>
                <w:sz w:val="24"/>
                <w:szCs w:val="24"/>
                <w:rtl/>
                <w:lang w:val="en-GB"/>
              </w:rPr>
            </w:pPr>
            <w:r>
              <w:rPr>
                <w:rFonts w:cs="Times New Roman"/>
                <w:sz w:val="24"/>
                <w:szCs w:val="24"/>
              </w:rPr>
              <w:t>Number of Settlers in the Settlements in the West Bank, by Governorate and Classification, 2010</w:t>
            </w:r>
          </w:p>
        </w:tc>
        <w:tc>
          <w:tcPr>
            <w:tcW w:w="850" w:type="dxa"/>
          </w:tcPr>
          <w:p w:rsidR="00E11A11" w:rsidRDefault="00E11A11" w:rsidP="00A7565D">
            <w:pPr>
              <w:spacing w:before="100" w:beforeAutospacing="1"/>
              <w:jc w:val="center"/>
              <w:rPr>
                <w:rFonts w:cs="Times New Roman"/>
                <w:b/>
                <w:bCs/>
                <w:sz w:val="24"/>
                <w:szCs w:val="24"/>
                <w:rtl/>
                <w:lang w:val="en-GB"/>
              </w:rPr>
            </w:pPr>
            <w:r>
              <w:rPr>
                <w:rFonts w:cs="Times New Roman"/>
                <w:b/>
                <w:bCs/>
                <w:sz w:val="24"/>
                <w:szCs w:val="24"/>
                <w:lang w:val="en-GB"/>
              </w:rPr>
              <w:t>49</w:t>
            </w:r>
          </w:p>
        </w:tc>
      </w:tr>
      <w:tr w:rsidR="00E11A11" w:rsidTr="00932B3F">
        <w:trPr>
          <w:trHeight w:hRule="exact" w:val="113"/>
          <w:jc w:val="center"/>
        </w:trPr>
        <w:tc>
          <w:tcPr>
            <w:tcW w:w="1238" w:type="dxa"/>
          </w:tcPr>
          <w:p w:rsidR="00E11A11" w:rsidRDefault="00E11A11" w:rsidP="00A7565D">
            <w:pPr>
              <w:spacing w:before="100" w:beforeAutospacing="1"/>
              <w:jc w:val="lowKashida"/>
              <w:rPr>
                <w:rFonts w:cs="Times New Roman"/>
                <w:b/>
                <w:bCs/>
                <w:sz w:val="24"/>
                <w:szCs w:val="24"/>
              </w:rPr>
            </w:pPr>
          </w:p>
        </w:tc>
        <w:tc>
          <w:tcPr>
            <w:tcW w:w="7179" w:type="dxa"/>
          </w:tcPr>
          <w:p w:rsidR="00E11A11" w:rsidRDefault="00E11A11" w:rsidP="003916F1">
            <w:pPr>
              <w:spacing w:before="100" w:beforeAutospacing="1"/>
              <w:jc w:val="lowKashida"/>
              <w:rPr>
                <w:rFonts w:cs="Times New Roman"/>
                <w:sz w:val="24"/>
                <w:szCs w:val="24"/>
              </w:rPr>
            </w:pPr>
          </w:p>
        </w:tc>
        <w:tc>
          <w:tcPr>
            <w:tcW w:w="850" w:type="dxa"/>
          </w:tcPr>
          <w:p w:rsidR="00E11A11" w:rsidRDefault="00E11A11" w:rsidP="00A7565D">
            <w:pPr>
              <w:spacing w:before="100" w:beforeAutospacing="1"/>
              <w:jc w:val="center"/>
              <w:rPr>
                <w:rFonts w:cs="Times New Roman"/>
                <w:b/>
                <w:bCs/>
                <w:sz w:val="24"/>
                <w:szCs w:val="24"/>
                <w:lang w:val="en-GB"/>
              </w:rPr>
            </w:pPr>
          </w:p>
        </w:tc>
      </w:tr>
      <w:tr w:rsidR="00E11A11" w:rsidTr="00932B3F">
        <w:trPr>
          <w:jc w:val="center"/>
        </w:trPr>
        <w:tc>
          <w:tcPr>
            <w:tcW w:w="1238" w:type="dxa"/>
          </w:tcPr>
          <w:p w:rsidR="00E11A11" w:rsidRDefault="00E11A11" w:rsidP="00A7565D">
            <w:pPr>
              <w:spacing w:before="100" w:beforeAutospacing="1"/>
              <w:jc w:val="lowKashida"/>
              <w:rPr>
                <w:rFonts w:cs="Times New Roman"/>
                <w:b/>
                <w:bCs/>
                <w:sz w:val="24"/>
                <w:szCs w:val="24"/>
                <w:rtl/>
                <w:lang w:val="en-GB"/>
              </w:rPr>
            </w:pPr>
            <w:r>
              <w:rPr>
                <w:rFonts w:cs="Times New Roman"/>
                <w:b/>
                <w:bCs/>
                <w:sz w:val="24"/>
                <w:szCs w:val="24"/>
              </w:rPr>
              <w:t xml:space="preserve">Table 4: </w:t>
            </w:r>
          </w:p>
        </w:tc>
        <w:tc>
          <w:tcPr>
            <w:tcW w:w="7179" w:type="dxa"/>
          </w:tcPr>
          <w:p w:rsidR="00E11A11" w:rsidRDefault="00E11A11" w:rsidP="003916F1">
            <w:pPr>
              <w:spacing w:before="100" w:beforeAutospacing="1"/>
              <w:jc w:val="lowKashida"/>
              <w:rPr>
                <w:rFonts w:cs="Times New Roman"/>
                <w:sz w:val="24"/>
                <w:szCs w:val="24"/>
                <w:rtl/>
                <w:lang w:val="en-GB"/>
              </w:rPr>
            </w:pPr>
            <w:r>
              <w:rPr>
                <w:rFonts w:cs="Times New Roman"/>
                <w:sz w:val="24"/>
                <w:szCs w:val="24"/>
              </w:rPr>
              <w:t>Number of Settlers in the Settlements and Palestinian Population in the West Bank, by Governorate, 2010</w:t>
            </w:r>
          </w:p>
        </w:tc>
        <w:tc>
          <w:tcPr>
            <w:tcW w:w="850" w:type="dxa"/>
          </w:tcPr>
          <w:p w:rsidR="00E11A11" w:rsidRDefault="00E11A11" w:rsidP="00A7565D">
            <w:pPr>
              <w:spacing w:before="100" w:beforeAutospacing="1"/>
              <w:jc w:val="center"/>
              <w:rPr>
                <w:rFonts w:cs="Times New Roman"/>
                <w:b/>
                <w:bCs/>
                <w:sz w:val="24"/>
                <w:szCs w:val="24"/>
                <w:rtl/>
                <w:lang w:val="en-GB"/>
              </w:rPr>
            </w:pPr>
            <w:r>
              <w:rPr>
                <w:rFonts w:cs="Times New Roman"/>
                <w:b/>
                <w:bCs/>
                <w:sz w:val="24"/>
                <w:szCs w:val="24"/>
                <w:lang w:val="en-GB"/>
              </w:rPr>
              <w:t>50</w:t>
            </w:r>
          </w:p>
        </w:tc>
      </w:tr>
      <w:tr w:rsidR="00E11A11" w:rsidTr="00932B3F">
        <w:trPr>
          <w:trHeight w:hRule="exact" w:val="113"/>
          <w:jc w:val="center"/>
        </w:trPr>
        <w:tc>
          <w:tcPr>
            <w:tcW w:w="1238" w:type="dxa"/>
          </w:tcPr>
          <w:p w:rsidR="00E11A11" w:rsidRDefault="00E11A11" w:rsidP="00A7565D">
            <w:pPr>
              <w:spacing w:before="100" w:beforeAutospacing="1"/>
              <w:jc w:val="lowKashida"/>
              <w:rPr>
                <w:rFonts w:cs="Times New Roman"/>
                <w:b/>
                <w:bCs/>
                <w:sz w:val="24"/>
                <w:szCs w:val="24"/>
              </w:rPr>
            </w:pPr>
          </w:p>
        </w:tc>
        <w:tc>
          <w:tcPr>
            <w:tcW w:w="7179" w:type="dxa"/>
          </w:tcPr>
          <w:p w:rsidR="00E11A11" w:rsidRDefault="00E11A11" w:rsidP="003916F1">
            <w:pPr>
              <w:spacing w:before="100" w:beforeAutospacing="1"/>
              <w:jc w:val="lowKashida"/>
              <w:rPr>
                <w:rFonts w:cs="Times New Roman"/>
                <w:sz w:val="24"/>
                <w:szCs w:val="24"/>
              </w:rPr>
            </w:pPr>
          </w:p>
        </w:tc>
        <w:tc>
          <w:tcPr>
            <w:tcW w:w="850" w:type="dxa"/>
          </w:tcPr>
          <w:p w:rsidR="00E11A11" w:rsidRDefault="00E11A11" w:rsidP="00A7565D">
            <w:pPr>
              <w:spacing w:before="100" w:beforeAutospacing="1"/>
              <w:jc w:val="center"/>
              <w:rPr>
                <w:rFonts w:cs="Times New Roman"/>
                <w:b/>
                <w:bCs/>
                <w:sz w:val="24"/>
                <w:szCs w:val="24"/>
                <w:lang w:val="en-GB"/>
              </w:rPr>
            </w:pPr>
          </w:p>
        </w:tc>
      </w:tr>
      <w:tr w:rsidR="00E11A11" w:rsidTr="00932B3F">
        <w:trPr>
          <w:jc w:val="center"/>
        </w:trPr>
        <w:tc>
          <w:tcPr>
            <w:tcW w:w="1238" w:type="dxa"/>
          </w:tcPr>
          <w:p w:rsidR="00E11A11" w:rsidRDefault="00E11A11" w:rsidP="00A7565D">
            <w:pPr>
              <w:spacing w:before="100" w:beforeAutospacing="1"/>
              <w:jc w:val="lowKashida"/>
              <w:rPr>
                <w:rFonts w:cs="Times New Roman"/>
                <w:b/>
                <w:bCs/>
                <w:sz w:val="24"/>
                <w:szCs w:val="24"/>
                <w:rtl/>
                <w:lang w:val="en-GB"/>
              </w:rPr>
            </w:pPr>
            <w:r>
              <w:rPr>
                <w:rFonts w:cs="Times New Roman"/>
                <w:b/>
                <w:bCs/>
                <w:sz w:val="24"/>
                <w:szCs w:val="24"/>
              </w:rPr>
              <w:t xml:space="preserve">Table 5: </w:t>
            </w:r>
          </w:p>
        </w:tc>
        <w:tc>
          <w:tcPr>
            <w:tcW w:w="7179" w:type="dxa"/>
          </w:tcPr>
          <w:p w:rsidR="00E11A11" w:rsidRDefault="00E11A11" w:rsidP="003916F1">
            <w:pPr>
              <w:spacing w:before="100" w:beforeAutospacing="1"/>
              <w:jc w:val="lowKashida"/>
              <w:rPr>
                <w:rFonts w:cs="Times New Roman"/>
                <w:sz w:val="24"/>
                <w:szCs w:val="24"/>
                <w:rtl/>
                <w:lang w:val="en-GB"/>
              </w:rPr>
            </w:pPr>
            <w:r>
              <w:rPr>
                <w:rFonts w:cs="Times New Roman"/>
                <w:sz w:val="24"/>
                <w:szCs w:val="24"/>
              </w:rPr>
              <w:t>Number of Settlements in the West Bank, by Year of Establishment, 1967-2010</w:t>
            </w:r>
          </w:p>
        </w:tc>
        <w:tc>
          <w:tcPr>
            <w:tcW w:w="850" w:type="dxa"/>
          </w:tcPr>
          <w:p w:rsidR="00E11A11" w:rsidRDefault="00E11A11" w:rsidP="00A7565D">
            <w:pPr>
              <w:spacing w:before="100" w:beforeAutospacing="1"/>
              <w:jc w:val="center"/>
              <w:rPr>
                <w:rFonts w:cs="Times New Roman"/>
                <w:b/>
                <w:bCs/>
                <w:sz w:val="24"/>
                <w:szCs w:val="24"/>
                <w:rtl/>
                <w:lang w:val="en-GB"/>
              </w:rPr>
            </w:pPr>
            <w:r>
              <w:rPr>
                <w:rFonts w:cs="Times New Roman"/>
                <w:b/>
                <w:bCs/>
                <w:sz w:val="24"/>
                <w:szCs w:val="24"/>
                <w:lang w:val="en-GB"/>
              </w:rPr>
              <w:t>51</w:t>
            </w:r>
          </w:p>
        </w:tc>
      </w:tr>
      <w:tr w:rsidR="00E11A11" w:rsidTr="00932B3F">
        <w:trPr>
          <w:trHeight w:hRule="exact" w:val="113"/>
          <w:jc w:val="center"/>
        </w:trPr>
        <w:tc>
          <w:tcPr>
            <w:tcW w:w="1238" w:type="dxa"/>
          </w:tcPr>
          <w:p w:rsidR="00E11A11" w:rsidRDefault="00E11A11" w:rsidP="00A7565D">
            <w:pPr>
              <w:spacing w:before="100" w:beforeAutospacing="1"/>
              <w:jc w:val="lowKashida"/>
              <w:rPr>
                <w:rFonts w:cs="Times New Roman"/>
                <w:b/>
                <w:bCs/>
                <w:sz w:val="24"/>
                <w:szCs w:val="24"/>
              </w:rPr>
            </w:pPr>
          </w:p>
        </w:tc>
        <w:tc>
          <w:tcPr>
            <w:tcW w:w="7179" w:type="dxa"/>
          </w:tcPr>
          <w:p w:rsidR="00E11A11" w:rsidRDefault="00E11A11" w:rsidP="003916F1">
            <w:pPr>
              <w:spacing w:before="100" w:beforeAutospacing="1"/>
              <w:jc w:val="lowKashida"/>
              <w:rPr>
                <w:rFonts w:cs="Times New Roman"/>
                <w:sz w:val="24"/>
                <w:szCs w:val="24"/>
              </w:rPr>
            </w:pPr>
          </w:p>
        </w:tc>
        <w:tc>
          <w:tcPr>
            <w:tcW w:w="850" w:type="dxa"/>
          </w:tcPr>
          <w:p w:rsidR="00E11A11" w:rsidRDefault="00E11A11" w:rsidP="00A7565D">
            <w:pPr>
              <w:spacing w:before="100" w:beforeAutospacing="1"/>
              <w:jc w:val="center"/>
              <w:rPr>
                <w:rFonts w:cs="Times New Roman"/>
                <w:b/>
                <w:bCs/>
                <w:sz w:val="24"/>
                <w:szCs w:val="24"/>
                <w:lang w:val="en-GB"/>
              </w:rPr>
            </w:pPr>
          </w:p>
        </w:tc>
      </w:tr>
      <w:tr w:rsidR="00E11A11" w:rsidTr="00932B3F">
        <w:trPr>
          <w:jc w:val="center"/>
        </w:trPr>
        <w:tc>
          <w:tcPr>
            <w:tcW w:w="1238" w:type="dxa"/>
          </w:tcPr>
          <w:p w:rsidR="00E11A11" w:rsidRDefault="00E11A11" w:rsidP="00A7565D">
            <w:pPr>
              <w:spacing w:before="100" w:beforeAutospacing="1"/>
              <w:jc w:val="lowKashida"/>
              <w:rPr>
                <w:rFonts w:cs="Times New Roman"/>
                <w:b/>
                <w:bCs/>
                <w:sz w:val="24"/>
                <w:szCs w:val="24"/>
                <w:rtl/>
                <w:lang w:val="en-GB"/>
              </w:rPr>
            </w:pPr>
            <w:r>
              <w:rPr>
                <w:rFonts w:cs="Times New Roman"/>
                <w:b/>
                <w:bCs/>
                <w:sz w:val="24"/>
                <w:szCs w:val="24"/>
              </w:rPr>
              <w:t xml:space="preserve">Table 6: </w:t>
            </w:r>
          </w:p>
        </w:tc>
        <w:tc>
          <w:tcPr>
            <w:tcW w:w="7179" w:type="dxa"/>
          </w:tcPr>
          <w:p w:rsidR="00E11A11" w:rsidRDefault="00E11A11" w:rsidP="003916F1">
            <w:pPr>
              <w:spacing w:before="100" w:beforeAutospacing="1"/>
              <w:jc w:val="lowKashida"/>
              <w:rPr>
                <w:rFonts w:cs="Times New Roman"/>
                <w:sz w:val="24"/>
                <w:szCs w:val="24"/>
                <w:rtl/>
                <w:lang w:val="en-GB"/>
              </w:rPr>
            </w:pPr>
            <w:r>
              <w:rPr>
                <w:rFonts w:cs="Times New Roman"/>
                <w:sz w:val="24"/>
                <w:szCs w:val="24"/>
              </w:rPr>
              <w:t>Number of Settlers in the Settlements in the West Bank, by Year and Region, 1986-2010</w:t>
            </w:r>
          </w:p>
        </w:tc>
        <w:tc>
          <w:tcPr>
            <w:tcW w:w="850" w:type="dxa"/>
          </w:tcPr>
          <w:p w:rsidR="00E11A11" w:rsidRDefault="00E11A11" w:rsidP="00A7565D">
            <w:pPr>
              <w:spacing w:before="100" w:beforeAutospacing="1"/>
              <w:jc w:val="center"/>
              <w:rPr>
                <w:rFonts w:cs="Times New Roman"/>
                <w:b/>
                <w:bCs/>
                <w:sz w:val="24"/>
                <w:szCs w:val="24"/>
                <w:rtl/>
                <w:lang w:val="en-GB"/>
              </w:rPr>
            </w:pPr>
            <w:r>
              <w:rPr>
                <w:rFonts w:cs="Times New Roman"/>
                <w:b/>
                <w:bCs/>
                <w:sz w:val="24"/>
                <w:szCs w:val="24"/>
                <w:lang w:val="en-GB"/>
              </w:rPr>
              <w:t>52</w:t>
            </w:r>
          </w:p>
        </w:tc>
      </w:tr>
      <w:tr w:rsidR="00E11A11" w:rsidTr="00932B3F">
        <w:trPr>
          <w:trHeight w:hRule="exact" w:val="113"/>
          <w:jc w:val="center"/>
        </w:trPr>
        <w:tc>
          <w:tcPr>
            <w:tcW w:w="1238" w:type="dxa"/>
          </w:tcPr>
          <w:p w:rsidR="00E11A11" w:rsidRDefault="00E11A11" w:rsidP="00A7565D">
            <w:pPr>
              <w:spacing w:before="100" w:beforeAutospacing="1"/>
              <w:jc w:val="lowKashida"/>
              <w:rPr>
                <w:rFonts w:cs="Times New Roman"/>
                <w:b/>
                <w:bCs/>
                <w:sz w:val="24"/>
                <w:szCs w:val="24"/>
              </w:rPr>
            </w:pPr>
          </w:p>
        </w:tc>
        <w:tc>
          <w:tcPr>
            <w:tcW w:w="7179" w:type="dxa"/>
          </w:tcPr>
          <w:p w:rsidR="00E11A11" w:rsidRDefault="00E11A11" w:rsidP="003916F1">
            <w:pPr>
              <w:spacing w:before="100" w:beforeAutospacing="1"/>
              <w:jc w:val="lowKashida"/>
              <w:rPr>
                <w:rFonts w:cs="Times New Roman"/>
                <w:sz w:val="24"/>
                <w:szCs w:val="24"/>
              </w:rPr>
            </w:pPr>
          </w:p>
        </w:tc>
        <w:tc>
          <w:tcPr>
            <w:tcW w:w="850" w:type="dxa"/>
          </w:tcPr>
          <w:p w:rsidR="00E11A11" w:rsidRDefault="00E11A11" w:rsidP="00A7565D">
            <w:pPr>
              <w:spacing w:before="100" w:beforeAutospacing="1"/>
              <w:jc w:val="center"/>
              <w:rPr>
                <w:rFonts w:cs="Times New Roman"/>
                <w:b/>
                <w:bCs/>
                <w:sz w:val="24"/>
                <w:szCs w:val="24"/>
                <w:lang w:val="en-GB"/>
              </w:rPr>
            </w:pPr>
          </w:p>
        </w:tc>
      </w:tr>
      <w:tr w:rsidR="00E11A11" w:rsidTr="00932B3F">
        <w:trPr>
          <w:jc w:val="center"/>
        </w:trPr>
        <w:tc>
          <w:tcPr>
            <w:tcW w:w="1238" w:type="dxa"/>
          </w:tcPr>
          <w:p w:rsidR="00E11A11" w:rsidRDefault="00E11A11" w:rsidP="00A7565D">
            <w:pPr>
              <w:spacing w:before="100" w:beforeAutospacing="1"/>
              <w:jc w:val="lowKashida"/>
              <w:rPr>
                <w:rFonts w:cs="Times New Roman"/>
                <w:b/>
                <w:bCs/>
                <w:sz w:val="24"/>
                <w:szCs w:val="24"/>
                <w:rtl/>
                <w:lang w:val="en-GB"/>
              </w:rPr>
            </w:pPr>
            <w:r>
              <w:rPr>
                <w:rFonts w:cs="Times New Roman"/>
                <w:b/>
                <w:bCs/>
                <w:sz w:val="24"/>
                <w:szCs w:val="24"/>
              </w:rPr>
              <w:t xml:space="preserve">Table 7: </w:t>
            </w:r>
          </w:p>
        </w:tc>
        <w:tc>
          <w:tcPr>
            <w:tcW w:w="7179" w:type="dxa"/>
          </w:tcPr>
          <w:p w:rsidR="00E11A11" w:rsidRDefault="00E11A11" w:rsidP="003916F1">
            <w:pPr>
              <w:spacing w:before="100" w:beforeAutospacing="1"/>
              <w:jc w:val="lowKashida"/>
              <w:rPr>
                <w:rFonts w:cs="Times New Roman"/>
                <w:sz w:val="24"/>
                <w:szCs w:val="24"/>
                <w:rtl/>
                <w:lang w:val="en-GB"/>
              </w:rPr>
            </w:pPr>
            <w:r>
              <w:rPr>
                <w:rFonts w:cs="Times New Roman"/>
                <w:sz w:val="24"/>
                <w:szCs w:val="24"/>
              </w:rPr>
              <w:t>Number of Settlements in the West Bank, by Governorate and Period of Establishment, 2010</w:t>
            </w:r>
          </w:p>
        </w:tc>
        <w:tc>
          <w:tcPr>
            <w:tcW w:w="850" w:type="dxa"/>
          </w:tcPr>
          <w:p w:rsidR="00E11A11" w:rsidRDefault="00E11A11" w:rsidP="00A7565D">
            <w:pPr>
              <w:spacing w:before="100" w:beforeAutospacing="1"/>
              <w:jc w:val="center"/>
              <w:rPr>
                <w:rFonts w:cs="Times New Roman"/>
                <w:b/>
                <w:bCs/>
                <w:sz w:val="24"/>
                <w:szCs w:val="24"/>
                <w:rtl/>
                <w:lang w:val="en-GB"/>
              </w:rPr>
            </w:pPr>
            <w:r>
              <w:rPr>
                <w:rFonts w:cs="Times New Roman"/>
                <w:b/>
                <w:bCs/>
                <w:sz w:val="24"/>
                <w:szCs w:val="24"/>
                <w:lang w:val="en-GB"/>
              </w:rPr>
              <w:t>53</w:t>
            </w:r>
          </w:p>
        </w:tc>
      </w:tr>
      <w:tr w:rsidR="00E11A11" w:rsidTr="00932B3F">
        <w:trPr>
          <w:trHeight w:hRule="exact" w:val="113"/>
          <w:jc w:val="center"/>
        </w:trPr>
        <w:tc>
          <w:tcPr>
            <w:tcW w:w="1238" w:type="dxa"/>
          </w:tcPr>
          <w:p w:rsidR="00E11A11" w:rsidRDefault="00E11A11" w:rsidP="00A7565D">
            <w:pPr>
              <w:spacing w:before="100" w:beforeAutospacing="1"/>
              <w:jc w:val="lowKashida"/>
              <w:rPr>
                <w:rFonts w:cs="Times New Roman"/>
                <w:b/>
                <w:bCs/>
                <w:sz w:val="24"/>
                <w:szCs w:val="24"/>
              </w:rPr>
            </w:pPr>
          </w:p>
        </w:tc>
        <w:tc>
          <w:tcPr>
            <w:tcW w:w="7179" w:type="dxa"/>
          </w:tcPr>
          <w:p w:rsidR="00E11A11" w:rsidRDefault="00E11A11" w:rsidP="003916F1">
            <w:pPr>
              <w:spacing w:before="100" w:beforeAutospacing="1"/>
              <w:jc w:val="lowKashida"/>
              <w:rPr>
                <w:rFonts w:cs="Times New Roman"/>
                <w:sz w:val="24"/>
                <w:szCs w:val="24"/>
              </w:rPr>
            </w:pPr>
          </w:p>
        </w:tc>
        <w:tc>
          <w:tcPr>
            <w:tcW w:w="850" w:type="dxa"/>
          </w:tcPr>
          <w:p w:rsidR="00E11A11" w:rsidRDefault="00E11A11" w:rsidP="00A7565D">
            <w:pPr>
              <w:spacing w:before="100" w:beforeAutospacing="1"/>
              <w:jc w:val="center"/>
              <w:rPr>
                <w:rFonts w:cs="Times New Roman"/>
                <w:b/>
                <w:bCs/>
                <w:sz w:val="24"/>
                <w:szCs w:val="24"/>
                <w:lang w:val="en-GB"/>
              </w:rPr>
            </w:pPr>
          </w:p>
        </w:tc>
      </w:tr>
      <w:tr w:rsidR="00E11A11" w:rsidTr="00932B3F">
        <w:trPr>
          <w:jc w:val="center"/>
        </w:trPr>
        <w:tc>
          <w:tcPr>
            <w:tcW w:w="1238" w:type="dxa"/>
          </w:tcPr>
          <w:p w:rsidR="00E11A11" w:rsidRDefault="00E11A11" w:rsidP="00A7565D">
            <w:pPr>
              <w:spacing w:before="100" w:beforeAutospacing="1"/>
              <w:jc w:val="lowKashida"/>
              <w:rPr>
                <w:rFonts w:cs="Times New Roman"/>
                <w:b/>
                <w:bCs/>
                <w:sz w:val="24"/>
                <w:szCs w:val="24"/>
                <w:rtl/>
                <w:lang w:val="en-GB"/>
              </w:rPr>
            </w:pPr>
            <w:r>
              <w:rPr>
                <w:rFonts w:cs="Times New Roman"/>
                <w:b/>
                <w:bCs/>
                <w:sz w:val="24"/>
                <w:szCs w:val="24"/>
              </w:rPr>
              <w:t xml:space="preserve">Table 8: </w:t>
            </w:r>
          </w:p>
        </w:tc>
        <w:tc>
          <w:tcPr>
            <w:tcW w:w="7179" w:type="dxa"/>
          </w:tcPr>
          <w:p w:rsidR="00E11A11" w:rsidRDefault="00E11A11" w:rsidP="003916F1">
            <w:pPr>
              <w:spacing w:before="100" w:beforeAutospacing="1"/>
              <w:jc w:val="lowKashida"/>
              <w:rPr>
                <w:rFonts w:cs="Times New Roman"/>
                <w:sz w:val="24"/>
                <w:szCs w:val="24"/>
                <w:rtl/>
                <w:lang w:val="en-GB"/>
              </w:rPr>
            </w:pPr>
            <w:r>
              <w:rPr>
                <w:rFonts w:cs="Times New Roman"/>
                <w:sz w:val="24"/>
                <w:szCs w:val="24"/>
              </w:rPr>
              <w:t>Number of Settlers in the Settlements in the West Bank, by Governorate and Period of Establishment, 2010</w:t>
            </w:r>
          </w:p>
        </w:tc>
        <w:tc>
          <w:tcPr>
            <w:tcW w:w="850" w:type="dxa"/>
          </w:tcPr>
          <w:p w:rsidR="00E11A11" w:rsidRDefault="00E11A11" w:rsidP="00A7565D">
            <w:pPr>
              <w:spacing w:before="100" w:beforeAutospacing="1"/>
              <w:jc w:val="center"/>
              <w:rPr>
                <w:rFonts w:cs="Times New Roman"/>
                <w:b/>
                <w:bCs/>
                <w:sz w:val="24"/>
                <w:szCs w:val="24"/>
                <w:rtl/>
                <w:lang w:val="en-GB"/>
              </w:rPr>
            </w:pPr>
            <w:r>
              <w:rPr>
                <w:rFonts w:cs="Times New Roman"/>
                <w:b/>
                <w:bCs/>
                <w:sz w:val="24"/>
                <w:szCs w:val="24"/>
                <w:lang w:val="en-GB"/>
              </w:rPr>
              <w:t>54</w:t>
            </w:r>
          </w:p>
        </w:tc>
      </w:tr>
      <w:tr w:rsidR="00E11A11" w:rsidTr="00932B3F">
        <w:trPr>
          <w:trHeight w:hRule="exact" w:val="113"/>
          <w:jc w:val="center"/>
        </w:trPr>
        <w:tc>
          <w:tcPr>
            <w:tcW w:w="1238" w:type="dxa"/>
          </w:tcPr>
          <w:p w:rsidR="00E11A11" w:rsidRDefault="00E11A11" w:rsidP="00A7565D">
            <w:pPr>
              <w:spacing w:before="100" w:beforeAutospacing="1"/>
              <w:jc w:val="lowKashida"/>
              <w:rPr>
                <w:rFonts w:cs="Times New Roman"/>
                <w:b/>
                <w:bCs/>
                <w:sz w:val="24"/>
                <w:szCs w:val="24"/>
              </w:rPr>
            </w:pPr>
          </w:p>
        </w:tc>
        <w:tc>
          <w:tcPr>
            <w:tcW w:w="7179" w:type="dxa"/>
          </w:tcPr>
          <w:p w:rsidR="00E11A11" w:rsidRDefault="00E11A11" w:rsidP="003916F1">
            <w:pPr>
              <w:spacing w:before="100" w:beforeAutospacing="1"/>
              <w:jc w:val="lowKashida"/>
              <w:rPr>
                <w:rFonts w:cs="Times New Roman"/>
                <w:sz w:val="24"/>
                <w:szCs w:val="24"/>
              </w:rPr>
            </w:pPr>
          </w:p>
        </w:tc>
        <w:tc>
          <w:tcPr>
            <w:tcW w:w="850" w:type="dxa"/>
          </w:tcPr>
          <w:p w:rsidR="00E11A11" w:rsidRDefault="00E11A11" w:rsidP="00A7565D">
            <w:pPr>
              <w:spacing w:before="100" w:beforeAutospacing="1"/>
              <w:jc w:val="center"/>
              <w:rPr>
                <w:rFonts w:cs="Times New Roman"/>
                <w:b/>
                <w:bCs/>
                <w:sz w:val="24"/>
                <w:szCs w:val="24"/>
                <w:lang w:val="en-GB"/>
              </w:rPr>
            </w:pPr>
          </w:p>
        </w:tc>
      </w:tr>
      <w:tr w:rsidR="00E11A11" w:rsidTr="00932B3F">
        <w:trPr>
          <w:jc w:val="center"/>
        </w:trPr>
        <w:tc>
          <w:tcPr>
            <w:tcW w:w="1238" w:type="dxa"/>
          </w:tcPr>
          <w:p w:rsidR="00E11A11" w:rsidRDefault="00E11A11" w:rsidP="00A7565D">
            <w:pPr>
              <w:spacing w:before="100" w:beforeAutospacing="1"/>
              <w:jc w:val="lowKashida"/>
              <w:rPr>
                <w:rFonts w:cs="Times New Roman"/>
                <w:b/>
                <w:bCs/>
                <w:sz w:val="24"/>
                <w:szCs w:val="24"/>
                <w:rtl/>
                <w:lang w:val="en-GB"/>
              </w:rPr>
            </w:pPr>
            <w:r>
              <w:rPr>
                <w:rFonts w:cs="Times New Roman"/>
                <w:b/>
                <w:bCs/>
                <w:sz w:val="24"/>
                <w:szCs w:val="24"/>
              </w:rPr>
              <w:t xml:space="preserve">Table 9: </w:t>
            </w:r>
          </w:p>
        </w:tc>
        <w:tc>
          <w:tcPr>
            <w:tcW w:w="7179" w:type="dxa"/>
          </w:tcPr>
          <w:p w:rsidR="00E11A11" w:rsidRDefault="00E11A11" w:rsidP="003916F1">
            <w:pPr>
              <w:spacing w:before="100" w:beforeAutospacing="1"/>
              <w:jc w:val="lowKashida"/>
              <w:rPr>
                <w:rFonts w:cs="Times New Roman"/>
                <w:sz w:val="24"/>
                <w:szCs w:val="24"/>
                <w:rtl/>
                <w:lang w:val="en-GB"/>
              </w:rPr>
            </w:pPr>
            <w:r>
              <w:rPr>
                <w:rFonts w:cs="Times New Roman"/>
                <w:sz w:val="24"/>
                <w:szCs w:val="24"/>
              </w:rPr>
              <w:t>Number of Settlements in the West Bank, by Governorate and Type of Settlement, 2010</w:t>
            </w:r>
          </w:p>
        </w:tc>
        <w:tc>
          <w:tcPr>
            <w:tcW w:w="850" w:type="dxa"/>
          </w:tcPr>
          <w:p w:rsidR="00E11A11" w:rsidRDefault="00E11A11" w:rsidP="00A7565D">
            <w:pPr>
              <w:spacing w:before="100" w:beforeAutospacing="1"/>
              <w:jc w:val="center"/>
              <w:rPr>
                <w:rFonts w:cs="Times New Roman"/>
                <w:b/>
                <w:bCs/>
                <w:sz w:val="24"/>
                <w:szCs w:val="24"/>
                <w:rtl/>
                <w:lang w:val="en-GB"/>
              </w:rPr>
            </w:pPr>
            <w:r>
              <w:rPr>
                <w:rFonts w:cs="Times New Roman"/>
                <w:b/>
                <w:bCs/>
                <w:sz w:val="24"/>
                <w:szCs w:val="24"/>
                <w:lang w:val="en-GB"/>
              </w:rPr>
              <w:t>55</w:t>
            </w:r>
          </w:p>
        </w:tc>
      </w:tr>
      <w:tr w:rsidR="00E11A11" w:rsidTr="00932B3F">
        <w:trPr>
          <w:trHeight w:hRule="exact" w:val="113"/>
          <w:jc w:val="center"/>
        </w:trPr>
        <w:tc>
          <w:tcPr>
            <w:tcW w:w="1238" w:type="dxa"/>
          </w:tcPr>
          <w:p w:rsidR="00E11A11" w:rsidRDefault="00E11A11" w:rsidP="00A7565D">
            <w:pPr>
              <w:spacing w:before="100" w:beforeAutospacing="1"/>
              <w:jc w:val="lowKashida"/>
              <w:rPr>
                <w:rFonts w:cs="Times New Roman"/>
                <w:b/>
                <w:bCs/>
                <w:sz w:val="24"/>
                <w:szCs w:val="24"/>
              </w:rPr>
            </w:pPr>
          </w:p>
        </w:tc>
        <w:tc>
          <w:tcPr>
            <w:tcW w:w="7179" w:type="dxa"/>
          </w:tcPr>
          <w:p w:rsidR="00E11A11" w:rsidRDefault="00E11A11" w:rsidP="003916F1">
            <w:pPr>
              <w:spacing w:before="100" w:beforeAutospacing="1"/>
              <w:jc w:val="lowKashida"/>
              <w:rPr>
                <w:rFonts w:cs="Times New Roman"/>
                <w:sz w:val="24"/>
                <w:szCs w:val="24"/>
              </w:rPr>
            </w:pPr>
          </w:p>
        </w:tc>
        <w:tc>
          <w:tcPr>
            <w:tcW w:w="850" w:type="dxa"/>
          </w:tcPr>
          <w:p w:rsidR="00E11A11" w:rsidRDefault="00E11A11" w:rsidP="00A7565D">
            <w:pPr>
              <w:spacing w:before="100" w:beforeAutospacing="1"/>
              <w:jc w:val="center"/>
              <w:rPr>
                <w:rFonts w:cs="Times New Roman"/>
                <w:b/>
                <w:bCs/>
                <w:sz w:val="24"/>
                <w:szCs w:val="24"/>
                <w:lang w:val="en-GB"/>
              </w:rPr>
            </w:pPr>
          </w:p>
        </w:tc>
      </w:tr>
      <w:tr w:rsidR="00E11A11" w:rsidTr="00932B3F">
        <w:trPr>
          <w:jc w:val="center"/>
        </w:trPr>
        <w:tc>
          <w:tcPr>
            <w:tcW w:w="1238" w:type="dxa"/>
          </w:tcPr>
          <w:p w:rsidR="00E11A11" w:rsidRDefault="00E11A11" w:rsidP="00A7565D">
            <w:pPr>
              <w:spacing w:before="100" w:beforeAutospacing="1"/>
              <w:jc w:val="lowKashida"/>
              <w:rPr>
                <w:rFonts w:cs="Times New Roman"/>
                <w:b/>
                <w:bCs/>
                <w:sz w:val="24"/>
                <w:szCs w:val="24"/>
                <w:rtl/>
                <w:lang w:val="en-GB"/>
              </w:rPr>
            </w:pPr>
            <w:r>
              <w:rPr>
                <w:rFonts w:cs="Times New Roman"/>
                <w:b/>
                <w:bCs/>
                <w:sz w:val="24"/>
                <w:szCs w:val="24"/>
              </w:rPr>
              <w:t xml:space="preserve">Table 10: </w:t>
            </w:r>
          </w:p>
        </w:tc>
        <w:tc>
          <w:tcPr>
            <w:tcW w:w="7179" w:type="dxa"/>
          </w:tcPr>
          <w:p w:rsidR="00E11A11" w:rsidRDefault="00E11A11" w:rsidP="003916F1">
            <w:pPr>
              <w:spacing w:before="100" w:beforeAutospacing="1"/>
              <w:jc w:val="lowKashida"/>
              <w:rPr>
                <w:rFonts w:cs="Times New Roman"/>
                <w:sz w:val="24"/>
                <w:szCs w:val="24"/>
                <w:rtl/>
                <w:lang w:val="en-GB"/>
              </w:rPr>
            </w:pPr>
            <w:r>
              <w:rPr>
                <w:rFonts w:cs="Times New Roman"/>
                <w:sz w:val="24"/>
                <w:szCs w:val="24"/>
              </w:rPr>
              <w:t>Number of Settlers in the Settlements in the West Bank, by Governorate and Type of Settlement, 2010</w:t>
            </w:r>
          </w:p>
        </w:tc>
        <w:tc>
          <w:tcPr>
            <w:tcW w:w="850" w:type="dxa"/>
          </w:tcPr>
          <w:p w:rsidR="00E11A11" w:rsidRDefault="00E11A11" w:rsidP="00A7565D">
            <w:pPr>
              <w:spacing w:before="100" w:beforeAutospacing="1"/>
              <w:jc w:val="center"/>
              <w:rPr>
                <w:rFonts w:cs="Times New Roman"/>
                <w:b/>
                <w:bCs/>
                <w:sz w:val="24"/>
                <w:szCs w:val="24"/>
                <w:rtl/>
                <w:lang w:val="en-GB"/>
              </w:rPr>
            </w:pPr>
            <w:r>
              <w:rPr>
                <w:rFonts w:cs="Times New Roman"/>
                <w:b/>
                <w:bCs/>
                <w:sz w:val="24"/>
                <w:szCs w:val="24"/>
                <w:lang w:val="en-GB"/>
              </w:rPr>
              <w:t>56</w:t>
            </w:r>
          </w:p>
        </w:tc>
      </w:tr>
      <w:tr w:rsidR="00E11A11" w:rsidTr="00932B3F">
        <w:trPr>
          <w:trHeight w:hRule="exact" w:val="113"/>
          <w:jc w:val="center"/>
        </w:trPr>
        <w:tc>
          <w:tcPr>
            <w:tcW w:w="1238" w:type="dxa"/>
          </w:tcPr>
          <w:p w:rsidR="00E11A11" w:rsidRDefault="00E11A11" w:rsidP="00A7565D">
            <w:pPr>
              <w:spacing w:before="100" w:beforeAutospacing="1"/>
              <w:jc w:val="lowKashida"/>
              <w:rPr>
                <w:rFonts w:cs="Times New Roman"/>
                <w:b/>
                <w:bCs/>
                <w:sz w:val="24"/>
                <w:szCs w:val="24"/>
              </w:rPr>
            </w:pPr>
          </w:p>
        </w:tc>
        <w:tc>
          <w:tcPr>
            <w:tcW w:w="7179" w:type="dxa"/>
          </w:tcPr>
          <w:p w:rsidR="00E11A11" w:rsidRDefault="00E11A11" w:rsidP="003916F1">
            <w:pPr>
              <w:spacing w:before="100" w:beforeAutospacing="1"/>
              <w:jc w:val="lowKashida"/>
              <w:rPr>
                <w:rFonts w:cs="Times New Roman"/>
                <w:sz w:val="24"/>
                <w:szCs w:val="24"/>
              </w:rPr>
            </w:pPr>
          </w:p>
        </w:tc>
        <w:tc>
          <w:tcPr>
            <w:tcW w:w="850" w:type="dxa"/>
          </w:tcPr>
          <w:p w:rsidR="00E11A11" w:rsidRDefault="00E11A11" w:rsidP="00A7565D">
            <w:pPr>
              <w:spacing w:before="100" w:beforeAutospacing="1"/>
              <w:jc w:val="center"/>
              <w:rPr>
                <w:rFonts w:cs="Times New Roman"/>
                <w:b/>
                <w:bCs/>
                <w:sz w:val="24"/>
                <w:szCs w:val="24"/>
                <w:lang w:val="en-GB"/>
              </w:rPr>
            </w:pPr>
          </w:p>
        </w:tc>
      </w:tr>
      <w:tr w:rsidR="00E11A11" w:rsidTr="00932B3F">
        <w:trPr>
          <w:jc w:val="center"/>
        </w:trPr>
        <w:tc>
          <w:tcPr>
            <w:tcW w:w="1238" w:type="dxa"/>
          </w:tcPr>
          <w:p w:rsidR="00E11A11" w:rsidRDefault="00E11A11" w:rsidP="00A7565D">
            <w:pPr>
              <w:spacing w:before="100" w:beforeAutospacing="1"/>
              <w:jc w:val="lowKashida"/>
              <w:rPr>
                <w:rFonts w:cs="Times New Roman"/>
                <w:b/>
                <w:bCs/>
                <w:sz w:val="24"/>
                <w:szCs w:val="24"/>
                <w:rtl/>
                <w:lang w:val="en-GB"/>
              </w:rPr>
            </w:pPr>
            <w:r>
              <w:rPr>
                <w:rFonts w:cs="Times New Roman"/>
                <w:b/>
                <w:bCs/>
                <w:sz w:val="24"/>
                <w:szCs w:val="24"/>
              </w:rPr>
              <w:t xml:space="preserve">Table 11: </w:t>
            </w:r>
          </w:p>
        </w:tc>
        <w:tc>
          <w:tcPr>
            <w:tcW w:w="7179" w:type="dxa"/>
          </w:tcPr>
          <w:p w:rsidR="00E11A11" w:rsidRDefault="00E11A11" w:rsidP="003916F1">
            <w:pPr>
              <w:spacing w:before="100" w:beforeAutospacing="1"/>
              <w:jc w:val="lowKashida"/>
              <w:rPr>
                <w:rFonts w:cs="Times New Roman"/>
                <w:sz w:val="24"/>
                <w:szCs w:val="24"/>
                <w:rtl/>
                <w:lang w:val="en-GB"/>
              </w:rPr>
            </w:pPr>
            <w:r>
              <w:rPr>
                <w:rFonts w:cs="Times New Roman"/>
                <w:sz w:val="24"/>
                <w:szCs w:val="24"/>
              </w:rPr>
              <w:t>Number of Urban Settlements in the West Bank, by Governorate and Population Group Size, 2010</w:t>
            </w:r>
          </w:p>
        </w:tc>
        <w:tc>
          <w:tcPr>
            <w:tcW w:w="850" w:type="dxa"/>
          </w:tcPr>
          <w:p w:rsidR="00E11A11" w:rsidRDefault="00E11A11" w:rsidP="00A7565D">
            <w:pPr>
              <w:spacing w:before="100" w:beforeAutospacing="1"/>
              <w:jc w:val="center"/>
              <w:rPr>
                <w:rFonts w:cs="Times New Roman"/>
                <w:b/>
                <w:bCs/>
                <w:sz w:val="24"/>
                <w:szCs w:val="24"/>
                <w:rtl/>
                <w:lang w:val="en-GB"/>
              </w:rPr>
            </w:pPr>
            <w:r>
              <w:rPr>
                <w:rFonts w:cs="Times New Roman"/>
                <w:b/>
                <w:bCs/>
                <w:sz w:val="24"/>
                <w:szCs w:val="24"/>
                <w:lang w:val="en-GB"/>
              </w:rPr>
              <w:t>57</w:t>
            </w:r>
          </w:p>
        </w:tc>
      </w:tr>
      <w:tr w:rsidR="00E11A11" w:rsidTr="00932B3F">
        <w:trPr>
          <w:trHeight w:hRule="exact" w:val="113"/>
          <w:jc w:val="center"/>
        </w:trPr>
        <w:tc>
          <w:tcPr>
            <w:tcW w:w="1238" w:type="dxa"/>
          </w:tcPr>
          <w:p w:rsidR="00E11A11" w:rsidRDefault="00E11A11" w:rsidP="00A7565D">
            <w:pPr>
              <w:spacing w:before="100" w:beforeAutospacing="1"/>
              <w:jc w:val="lowKashida"/>
              <w:rPr>
                <w:rFonts w:cs="Times New Roman"/>
                <w:b/>
                <w:bCs/>
                <w:sz w:val="24"/>
                <w:szCs w:val="24"/>
              </w:rPr>
            </w:pPr>
          </w:p>
        </w:tc>
        <w:tc>
          <w:tcPr>
            <w:tcW w:w="7179" w:type="dxa"/>
          </w:tcPr>
          <w:p w:rsidR="00E11A11" w:rsidRDefault="00E11A11" w:rsidP="003916F1">
            <w:pPr>
              <w:spacing w:before="100" w:beforeAutospacing="1"/>
              <w:jc w:val="lowKashida"/>
              <w:rPr>
                <w:rFonts w:cs="Times New Roman"/>
                <w:sz w:val="24"/>
                <w:szCs w:val="24"/>
              </w:rPr>
            </w:pPr>
          </w:p>
        </w:tc>
        <w:tc>
          <w:tcPr>
            <w:tcW w:w="850" w:type="dxa"/>
          </w:tcPr>
          <w:p w:rsidR="00E11A11" w:rsidRDefault="00E11A11" w:rsidP="00A7565D">
            <w:pPr>
              <w:spacing w:before="100" w:beforeAutospacing="1"/>
              <w:jc w:val="center"/>
              <w:rPr>
                <w:rFonts w:cs="Times New Roman"/>
                <w:b/>
                <w:bCs/>
                <w:sz w:val="24"/>
                <w:szCs w:val="24"/>
                <w:lang w:val="en-GB"/>
              </w:rPr>
            </w:pPr>
          </w:p>
        </w:tc>
      </w:tr>
      <w:tr w:rsidR="00E11A11" w:rsidTr="00932B3F">
        <w:trPr>
          <w:jc w:val="center"/>
        </w:trPr>
        <w:tc>
          <w:tcPr>
            <w:tcW w:w="1238" w:type="dxa"/>
          </w:tcPr>
          <w:p w:rsidR="00E11A11" w:rsidRDefault="00E11A11" w:rsidP="00A7565D">
            <w:pPr>
              <w:spacing w:before="100" w:beforeAutospacing="1"/>
              <w:jc w:val="lowKashida"/>
              <w:rPr>
                <w:rFonts w:cs="Times New Roman"/>
                <w:b/>
                <w:bCs/>
                <w:sz w:val="24"/>
                <w:szCs w:val="24"/>
                <w:rtl/>
                <w:lang w:val="en-GB"/>
              </w:rPr>
            </w:pPr>
            <w:r>
              <w:rPr>
                <w:rFonts w:cs="Times New Roman"/>
                <w:b/>
                <w:bCs/>
                <w:sz w:val="24"/>
                <w:szCs w:val="24"/>
              </w:rPr>
              <w:t xml:space="preserve">Table 12: </w:t>
            </w:r>
          </w:p>
        </w:tc>
        <w:tc>
          <w:tcPr>
            <w:tcW w:w="7179" w:type="dxa"/>
          </w:tcPr>
          <w:p w:rsidR="00E11A11" w:rsidRDefault="00E11A11" w:rsidP="003916F1">
            <w:pPr>
              <w:spacing w:before="100" w:beforeAutospacing="1"/>
              <w:jc w:val="lowKashida"/>
              <w:rPr>
                <w:rFonts w:cs="Times New Roman"/>
                <w:sz w:val="24"/>
                <w:szCs w:val="24"/>
                <w:rtl/>
                <w:lang w:val="en-GB"/>
              </w:rPr>
            </w:pPr>
            <w:r>
              <w:rPr>
                <w:rFonts w:cs="Times New Roman"/>
                <w:sz w:val="24"/>
                <w:szCs w:val="24"/>
              </w:rPr>
              <w:t xml:space="preserve">Number of Settlers in the Urban Settlements in the West </w:t>
            </w:r>
            <w:r>
              <w:rPr>
                <w:rFonts w:cs="Times New Roman"/>
                <w:sz w:val="24"/>
                <w:szCs w:val="24"/>
              </w:rPr>
              <w:br/>
              <w:t>Bank, by Governorate and Population Group Size, 2010</w:t>
            </w:r>
          </w:p>
        </w:tc>
        <w:tc>
          <w:tcPr>
            <w:tcW w:w="850" w:type="dxa"/>
          </w:tcPr>
          <w:p w:rsidR="00E11A11" w:rsidRDefault="00E11A11" w:rsidP="00A7565D">
            <w:pPr>
              <w:spacing w:before="100" w:beforeAutospacing="1"/>
              <w:jc w:val="center"/>
              <w:rPr>
                <w:rFonts w:cs="Times New Roman"/>
                <w:b/>
                <w:bCs/>
                <w:sz w:val="24"/>
                <w:szCs w:val="24"/>
                <w:rtl/>
                <w:lang w:val="en-GB"/>
              </w:rPr>
            </w:pPr>
            <w:r>
              <w:rPr>
                <w:rFonts w:cs="Times New Roman"/>
                <w:b/>
                <w:bCs/>
                <w:sz w:val="24"/>
                <w:szCs w:val="24"/>
                <w:lang w:val="en-GB"/>
              </w:rPr>
              <w:t>58</w:t>
            </w:r>
          </w:p>
        </w:tc>
      </w:tr>
      <w:tr w:rsidR="00E11A11" w:rsidTr="00932B3F">
        <w:trPr>
          <w:trHeight w:hRule="exact" w:val="113"/>
          <w:jc w:val="center"/>
        </w:trPr>
        <w:tc>
          <w:tcPr>
            <w:tcW w:w="1238" w:type="dxa"/>
          </w:tcPr>
          <w:p w:rsidR="00E11A11" w:rsidRDefault="00E11A11" w:rsidP="00A7565D">
            <w:pPr>
              <w:spacing w:before="100" w:beforeAutospacing="1"/>
              <w:jc w:val="lowKashida"/>
              <w:rPr>
                <w:rFonts w:cs="Times New Roman"/>
                <w:b/>
                <w:bCs/>
                <w:sz w:val="24"/>
                <w:szCs w:val="24"/>
              </w:rPr>
            </w:pPr>
          </w:p>
        </w:tc>
        <w:tc>
          <w:tcPr>
            <w:tcW w:w="7179" w:type="dxa"/>
          </w:tcPr>
          <w:p w:rsidR="00E11A11" w:rsidRDefault="00E11A11" w:rsidP="003916F1">
            <w:pPr>
              <w:spacing w:before="100" w:beforeAutospacing="1"/>
              <w:jc w:val="lowKashida"/>
              <w:rPr>
                <w:rFonts w:cs="Times New Roman"/>
                <w:sz w:val="24"/>
                <w:szCs w:val="24"/>
              </w:rPr>
            </w:pPr>
          </w:p>
        </w:tc>
        <w:tc>
          <w:tcPr>
            <w:tcW w:w="850" w:type="dxa"/>
          </w:tcPr>
          <w:p w:rsidR="00E11A11" w:rsidRDefault="00E11A11" w:rsidP="00A7565D">
            <w:pPr>
              <w:spacing w:before="100" w:beforeAutospacing="1"/>
              <w:jc w:val="center"/>
              <w:rPr>
                <w:rFonts w:cs="Times New Roman"/>
                <w:b/>
                <w:bCs/>
                <w:sz w:val="24"/>
                <w:szCs w:val="24"/>
                <w:rtl/>
                <w:lang w:val="en-GB"/>
              </w:rPr>
            </w:pPr>
          </w:p>
        </w:tc>
      </w:tr>
      <w:tr w:rsidR="00E11A11" w:rsidTr="00932B3F">
        <w:trPr>
          <w:jc w:val="center"/>
        </w:trPr>
        <w:tc>
          <w:tcPr>
            <w:tcW w:w="1238" w:type="dxa"/>
          </w:tcPr>
          <w:p w:rsidR="00E11A11" w:rsidRDefault="00E11A11" w:rsidP="00A7565D">
            <w:pPr>
              <w:spacing w:before="100" w:beforeAutospacing="1"/>
              <w:jc w:val="lowKashida"/>
              <w:rPr>
                <w:rFonts w:cs="Times New Roman"/>
                <w:b/>
                <w:bCs/>
                <w:sz w:val="24"/>
                <w:szCs w:val="24"/>
                <w:rtl/>
                <w:lang w:val="en-GB"/>
              </w:rPr>
            </w:pPr>
            <w:r>
              <w:rPr>
                <w:rFonts w:cs="Times New Roman"/>
                <w:b/>
                <w:bCs/>
                <w:sz w:val="24"/>
                <w:szCs w:val="24"/>
              </w:rPr>
              <w:t xml:space="preserve">Table 13: </w:t>
            </w:r>
          </w:p>
        </w:tc>
        <w:tc>
          <w:tcPr>
            <w:tcW w:w="7179" w:type="dxa"/>
          </w:tcPr>
          <w:p w:rsidR="00E11A11" w:rsidRDefault="00E11A11" w:rsidP="003916F1">
            <w:pPr>
              <w:spacing w:before="100" w:beforeAutospacing="1"/>
              <w:jc w:val="lowKashida"/>
              <w:rPr>
                <w:rFonts w:cs="Times New Roman"/>
                <w:sz w:val="24"/>
                <w:szCs w:val="24"/>
                <w:rtl/>
                <w:lang w:val="en-GB"/>
              </w:rPr>
            </w:pPr>
            <w:r>
              <w:rPr>
                <w:rFonts w:cs="Times New Roman"/>
                <w:sz w:val="24"/>
                <w:szCs w:val="24"/>
              </w:rPr>
              <w:t>Number of Rural Settlements in the West Bank, by Type of Settlements and Population Group Size, 2010</w:t>
            </w:r>
          </w:p>
        </w:tc>
        <w:tc>
          <w:tcPr>
            <w:tcW w:w="850" w:type="dxa"/>
          </w:tcPr>
          <w:p w:rsidR="00E11A11" w:rsidRDefault="00E11A11" w:rsidP="00A7565D">
            <w:pPr>
              <w:spacing w:before="100" w:beforeAutospacing="1"/>
              <w:jc w:val="center"/>
              <w:rPr>
                <w:rFonts w:cs="Times New Roman"/>
                <w:b/>
                <w:bCs/>
                <w:sz w:val="24"/>
                <w:szCs w:val="24"/>
                <w:lang w:val="en-GB"/>
              </w:rPr>
            </w:pPr>
            <w:r>
              <w:rPr>
                <w:rFonts w:cs="Times New Roman"/>
                <w:b/>
                <w:bCs/>
                <w:sz w:val="24"/>
                <w:szCs w:val="24"/>
                <w:lang w:val="en-GB"/>
              </w:rPr>
              <w:t>59</w:t>
            </w:r>
          </w:p>
        </w:tc>
      </w:tr>
      <w:tr w:rsidR="00E11A11" w:rsidTr="00932B3F">
        <w:trPr>
          <w:trHeight w:hRule="exact" w:val="113"/>
          <w:jc w:val="center"/>
        </w:trPr>
        <w:tc>
          <w:tcPr>
            <w:tcW w:w="1238" w:type="dxa"/>
          </w:tcPr>
          <w:p w:rsidR="00E11A11" w:rsidRDefault="00E11A11" w:rsidP="00A7565D">
            <w:pPr>
              <w:spacing w:before="100" w:beforeAutospacing="1"/>
              <w:jc w:val="lowKashida"/>
              <w:rPr>
                <w:rFonts w:cs="Times New Roman"/>
                <w:b/>
                <w:bCs/>
                <w:sz w:val="24"/>
                <w:szCs w:val="24"/>
              </w:rPr>
            </w:pPr>
          </w:p>
        </w:tc>
        <w:tc>
          <w:tcPr>
            <w:tcW w:w="7179" w:type="dxa"/>
          </w:tcPr>
          <w:p w:rsidR="00E11A11" w:rsidRDefault="00E11A11" w:rsidP="003916F1">
            <w:pPr>
              <w:spacing w:before="100" w:beforeAutospacing="1"/>
              <w:jc w:val="lowKashida"/>
              <w:rPr>
                <w:rFonts w:cs="Times New Roman"/>
                <w:sz w:val="24"/>
                <w:szCs w:val="24"/>
              </w:rPr>
            </w:pPr>
          </w:p>
        </w:tc>
        <w:tc>
          <w:tcPr>
            <w:tcW w:w="850" w:type="dxa"/>
          </w:tcPr>
          <w:p w:rsidR="00E11A11" w:rsidRDefault="00E11A11" w:rsidP="00A7565D">
            <w:pPr>
              <w:spacing w:before="100" w:beforeAutospacing="1"/>
              <w:jc w:val="center"/>
              <w:rPr>
                <w:rFonts w:cs="Times New Roman"/>
                <w:b/>
                <w:bCs/>
                <w:sz w:val="24"/>
                <w:szCs w:val="24"/>
                <w:rtl/>
                <w:lang w:val="en-GB"/>
              </w:rPr>
            </w:pPr>
          </w:p>
        </w:tc>
      </w:tr>
      <w:tr w:rsidR="00E11A11" w:rsidTr="00932B3F">
        <w:trPr>
          <w:jc w:val="center"/>
        </w:trPr>
        <w:tc>
          <w:tcPr>
            <w:tcW w:w="1238" w:type="dxa"/>
          </w:tcPr>
          <w:p w:rsidR="00E11A11" w:rsidRDefault="00E11A11" w:rsidP="00A7565D">
            <w:pPr>
              <w:spacing w:before="100" w:beforeAutospacing="1"/>
              <w:jc w:val="lowKashida"/>
              <w:rPr>
                <w:rFonts w:cs="Times New Roman"/>
                <w:b/>
                <w:bCs/>
                <w:sz w:val="24"/>
                <w:szCs w:val="24"/>
                <w:rtl/>
                <w:lang w:val="en-GB"/>
              </w:rPr>
            </w:pPr>
            <w:r>
              <w:rPr>
                <w:rFonts w:cs="Times New Roman"/>
                <w:b/>
                <w:bCs/>
                <w:sz w:val="24"/>
                <w:szCs w:val="24"/>
              </w:rPr>
              <w:t xml:space="preserve">Table 14: </w:t>
            </w:r>
          </w:p>
        </w:tc>
        <w:tc>
          <w:tcPr>
            <w:tcW w:w="7179" w:type="dxa"/>
          </w:tcPr>
          <w:p w:rsidR="00E11A11" w:rsidRDefault="00E11A11" w:rsidP="003916F1">
            <w:pPr>
              <w:spacing w:before="100" w:beforeAutospacing="1"/>
              <w:jc w:val="lowKashida"/>
              <w:rPr>
                <w:rFonts w:cs="Times New Roman"/>
                <w:sz w:val="24"/>
                <w:szCs w:val="24"/>
                <w:rtl/>
                <w:lang w:val="en-GB"/>
              </w:rPr>
            </w:pPr>
            <w:r>
              <w:rPr>
                <w:rFonts w:cs="Times New Roman"/>
                <w:sz w:val="24"/>
                <w:szCs w:val="24"/>
              </w:rPr>
              <w:t xml:space="preserve">Number of Settlers in the Rural Settlements in the West </w:t>
            </w:r>
            <w:r>
              <w:rPr>
                <w:rFonts w:cs="Times New Roman"/>
                <w:sz w:val="24"/>
                <w:szCs w:val="24"/>
              </w:rPr>
              <w:br/>
              <w:t>Bank, by Type of Settlements and Population Group Size, 2010</w:t>
            </w:r>
          </w:p>
        </w:tc>
        <w:tc>
          <w:tcPr>
            <w:tcW w:w="850" w:type="dxa"/>
          </w:tcPr>
          <w:p w:rsidR="00E11A11" w:rsidRDefault="00E11A11" w:rsidP="00A7565D">
            <w:pPr>
              <w:spacing w:before="100" w:beforeAutospacing="1"/>
              <w:jc w:val="center"/>
              <w:rPr>
                <w:rFonts w:cs="Times New Roman"/>
                <w:b/>
                <w:bCs/>
                <w:sz w:val="24"/>
                <w:szCs w:val="24"/>
                <w:lang w:val="en-GB"/>
              </w:rPr>
            </w:pPr>
            <w:r>
              <w:rPr>
                <w:rFonts w:cs="Times New Roman"/>
                <w:b/>
                <w:bCs/>
                <w:sz w:val="24"/>
                <w:szCs w:val="24"/>
                <w:lang w:val="en-GB"/>
              </w:rPr>
              <w:t>60</w:t>
            </w:r>
          </w:p>
        </w:tc>
      </w:tr>
      <w:tr w:rsidR="00E11A11" w:rsidTr="00932B3F">
        <w:trPr>
          <w:trHeight w:hRule="exact" w:val="113"/>
          <w:jc w:val="center"/>
        </w:trPr>
        <w:tc>
          <w:tcPr>
            <w:tcW w:w="1238" w:type="dxa"/>
          </w:tcPr>
          <w:p w:rsidR="00E11A11" w:rsidRDefault="00E11A11" w:rsidP="00A7565D">
            <w:pPr>
              <w:spacing w:before="100" w:beforeAutospacing="1"/>
              <w:jc w:val="lowKashida"/>
              <w:rPr>
                <w:rFonts w:cs="Times New Roman"/>
                <w:b/>
                <w:bCs/>
                <w:sz w:val="24"/>
                <w:szCs w:val="24"/>
                <w:rtl/>
                <w:lang w:val="en-GB"/>
              </w:rPr>
            </w:pPr>
            <w:r>
              <w:rPr>
                <w:rFonts w:cs="Times New Roman"/>
                <w:b/>
                <w:bCs/>
                <w:sz w:val="24"/>
                <w:szCs w:val="24"/>
              </w:rPr>
              <w:t xml:space="preserve">: </w:t>
            </w:r>
          </w:p>
        </w:tc>
        <w:tc>
          <w:tcPr>
            <w:tcW w:w="7179" w:type="dxa"/>
          </w:tcPr>
          <w:p w:rsidR="00E11A11" w:rsidRDefault="00E11A11" w:rsidP="003916F1">
            <w:pPr>
              <w:spacing w:before="100" w:beforeAutospacing="1"/>
              <w:jc w:val="lowKashida"/>
              <w:rPr>
                <w:rFonts w:cs="Times New Roman"/>
                <w:sz w:val="24"/>
                <w:szCs w:val="24"/>
              </w:rPr>
            </w:pPr>
          </w:p>
        </w:tc>
        <w:tc>
          <w:tcPr>
            <w:tcW w:w="850" w:type="dxa"/>
          </w:tcPr>
          <w:p w:rsidR="00E11A11" w:rsidRDefault="00E11A11" w:rsidP="00A7565D">
            <w:pPr>
              <w:spacing w:before="100" w:beforeAutospacing="1"/>
              <w:jc w:val="center"/>
              <w:rPr>
                <w:rFonts w:cs="Times New Roman"/>
                <w:b/>
                <w:bCs/>
                <w:sz w:val="24"/>
                <w:szCs w:val="24"/>
                <w:rtl/>
                <w:lang w:val="en-GB"/>
              </w:rPr>
            </w:pPr>
          </w:p>
        </w:tc>
      </w:tr>
      <w:tr w:rsidR="00E11A11" w:rsidTr="00932B3F">
        <w:trPr>
          <w:jc w:val="center"/>
        </w:trPr>
        <w:tc>
          <w:tcPr>
            <w:tcW w:w="1238" w:type="dxa"/>
          </w:tcPr>
          <w:p w:rsidR="00E11A11" w:rsidRDefault="00E11A11" w:rsidP="00A7565D">
            <w:pPr>
              <w:spacing w:before="100" w:beforeAutospacing="1"/>
              <w:jc w:val="lowKashida"/>
              <w:rPr>
                <w:rFonts w:cs="Times New Roman"/>
                <w:b/>
                <w:bCs/>
                <w:sz w:val="24"/>
                <w:szCs w:val="24"/>
              </w:rPr>
            </w:pPr>
            <w:r>
              <w:rPr>
                <w:rFonts w:cs="Times New Roman"/>
                <w:b/>
                <w:bCs/>
                <w:sz w:val="24"/>
                <w:szCs w:val="24"/>
              </w:rPr>
              <w:t>Table 15:</w:t>
            </w:r>
          </w:p>
        </w:tc>
        <w:tc>
          <w:tcPr>
            <w:tcW w:w="7179" w:type="dxa"/>
          </w:tcPr>
          <w:p w:rsidR="00E11A11" w:rsidRDefault="00E11A11" w:rsidP="003916F1">
            <w:pPr>
              <w:spacing w:before="100" w:beforeAutospacing="1"/>
              <w:jc w:val="lowKashida"/>
              <w:rPr>
                <w:rFonts w:cs="Times New Roman"/>
                <w:sz w:val="24"/>
                <w:szCs w:val="24"/>
                <w:rtl/>
                <w:lang w:val="en-GB"/>
              </w:rPr>
            </w:pPr>
            <w:r>
              <w:rPr>
                <w:rFonts w:cs="Times New Roman"/>
                <w:sz w:val="24"/>
                <w:szCs w:val="24"/>
              </w:rPr>
              <w:t>Number of Settlements in the West Bank, by Governorate and Regional Council, 2010</w:t>
            </w:r>
          </w:p>
        </w:tc>
        <w:tc>
          <w:tcPr>
            <w:tcW w:w="850" w:type="dxa"/>
          </w:tcPr>
          <w:p w:rsidR="00E11A11" w:rsidRDefault="00E11A11" w:rsidP="00A7565D">
            <w:pPr>
              <w:spacing w:before="100" w:beforeAutospacing="1"/>
              <w:jc w:val="center"/>
              <w:rPr>
                <w:rFonts w:cs="Times New Roman"/>
                <w:b/>
                <w:bCs/>
                <w:sz w:val="24"/>
                <w:szCs w:val="24"/>
                <w:lang w:val="en-GB"/>
              </w:rPr>
            </w:pPr>
            <w:r>
              <w:rPr>
                <w:rFonts w:cs="Times New Roman"/>
                <w:b/>
                <w:bCs/>
                <w:sz w:val="24"/>
                <w:szCs w:val="24"/>
                <w:lang w:val="en-GB"/>
              </w:rPr>
              <w:t>61</w:t>
            </w:r>
          </w:p>
        </w:tc>
      </w:tr>
      <w:tr w:rsidR="00E11A11" w:rsidTr="00932B3F">
        <w:trPr>
          <w:jc w:val="center"/>
        </w:trPr>
        <w:tc>
          <w:tcPr>
            <w:tcW w:w="1238" w:type="dxa"/>
          </w:tcPr>
          <w:p w:rsidR="00E11A11" w:rsidRDefault="00E11A11" w:rsidP="00A7565D">
            <w:pPr>
              <w:spacing w:before="100" w:beforeAutospacing="1"/>
              <w:jc w:val="lowKashida"/>
              <w:rPr>
                <w:rFonts w:cs="Times New Roman"/>
                <w:b/>
                <w:bCs/>
                <w:sz w:val="24"/>
                <w:szCs w:val="24"/>
                <w:rtl/>
                <w:lang w:val="en-GB"/>
              </w:rPr>
            </w:pPr>
            <w:r>
              <w:rPr>
                <w:rFonts w:cs="Times New Roman"/>
                <w:b/>
                <w:bCs/>
                <w:sz w:val="24"/>
                <w:szCs w:val="24"/>
              </w:rPr>
              <w:t xml:space="preserve">Table 16: </w:t>
            </w:r>
          </w:p>
        </w:tc>
        <w:tc>
          <w:tcPr>
            <w:tcW w:w="7179" w:type="dxa"/>
          </w:tcPr>
          <w:p w:rsidR="00E11A11" w:rsidRDefault="00E11A11" w:rsidP="003916F1">
            <w:pPr>
              <w:spacing w:before="100" w:beforeAutospacing="1"/>
              <w:jc w:val="lowKashida"/>
              <w:rPr>
                <w:rFonts w:cs="Times New Roman"/>
                <w:sz w:val="24"/>
                <w:szCs w:val="24"/>
                <w:rtl/>
                <w:lang w:val="en-GB"/>
              </w:rPr>
            </w:pPr>
            <w:r>
              <w:rPr>
                <w:rFonts w:cs="Times New Roman"/>
                <w:sz w:val="24"/>
                <w:szCs w:val="24"/>
              </w:rPr>
              <w:t>Number of Settlers in the Settlements in the West Bank, by Governorate and Regional Council, 2010</w:t>
            </w:r>
          </w:p>
        </w:tc>
        <w:tc>
          <w:tcPr>
            <w:tcW w:w="850" w:type="dxa"/>
          </w:tcPr>
          <w:p w:rsidR="00E11A11" w:rsidRDefault="00E11A11" w:rsidP="00A7565D">
            <w:pPr>
              <w:spacing w:before="100" w:beforeAutospacing="1"/>
              <w:jc w:val="center"/>
              <w:rPr>
                <w:rFonts w:cs="Times New Roman"/>
                <w:b/>
                <w:bCs/>
                <w:sz w:val="24"/>
                <w:szCs w:val="24"/>
                <w:rtl/>
                <w:lang w:val="en-GB"/>
              </w:rPr>
            </w:pPr>
            <w:r>
              <w:rPr>
                <w:rFonts w:cs="Times New Roman"/>
                <w:b/>
                <w:bCs/>
                <w:sz w:val="24"/>
                <w:szCs w:val="24"/>
                <w:lang w:val="en-GB"/>
              </w:rPr>
              <w:t>62</w:t>
            </w:r>
          </w:p>
        </w:tc>
      </w:tr>
      <w:tr w:rsidR="00E11A11" w:rsidTr="00932B3F">
        <w:trPr>
          <w:trHeight w:hRule="exact" w:val="113"/>
          <w:jc w:val="center"/>
        </w:trPr>
        <w:tc>
          <w:tcPr>
            <w:tcW w:w="1238" w:type="dxa"/>
          </w:tcPr>
          <w:p w:rsidR="00E11A11" w:rsidRDefault="00E11A11" w:rsidP="00A7565D">
            <w:pPr>
              <w:spacing w:before="100" w:beforeAutospacing="1"/>
              <w:jc w:val="lowKashida"/>
              <w:rPr>
                <w:rFonts w:cs="Times New Roman"/>
                <w:b/>
                <w:bCs/>
                <w:sz w:val="24"/>
                <w:szCs w:val="24"/>
              </w:rPr>
            </w:pPr>
          </w:p>
        </w:tc>
        <w:tc>
          <w:tcPr>
            <w:tcW w:w="7179" w:type="dxa"/>
          </w:tcPr>
          <w:p w:rsidR="00E11A11" w:rsidRDefault="00E11A11" w:rsidP="003916F1">
            <w:pPr>
              <w:spacing w:before="100" w:beforeAutospacing="1"/>
              <w:jc w:val="lowKashida"/>
              <w:rPr>
                <w:rFonts w:cs="Times New Roman"/>
                <w:sz w:val="24"/>
                <w:szCs w:val="24"/>
              </w:rPr>
            </w:pPr>
          </w:p>
        </w:tc>
        <w:tc>
          <w:tcPr>
            <w:tcW w:w="850" w:type="dxa"/>
          </w:tcPr>
          <w:p w:rsidR="00E11A11" w:rsidRDefault="00E11A11" w:rsidP="00A7565D">
            <w:pPr>
              <w:spacing w:before="100" w:beforeAutospacing="1"/>
              <w:jc w:val="center"/>
              <w:rPr>
                <w:rFonts w:cs="Times New Roman"/>
                <w:b/>
                <w:bCs/>
                <w:sz w:val="24"/>
                <w:szCs w:val="24"/>
                <w:lang w:val="en-GB"/>
              </w:rPr>
            </w:pPr>
          </w:p>
        </w:tc>
      </w:tr>
      <w:tr w:rsidR="00E11A11" w:rsidTr="00932B3F">
        <w:trPr>
          <w:jc w:val="center"/>
        </w:trPr>
        <w:tc>
          <w:tcPr>
            <w:tcW w:w="1238" w:type="dxa"/>
          </w:tcPr>
          <w:p w:rsidR="00E11A11" w:rsidRDefault="00E11A11" w:rsidP="00A7565D">
            <w:pPr>
              <w:spacing w:before="100" w:beforeAutospacing="1"/>
              <w:jc w:val="lowKashida"/>
              <w:rPr>
                <w:rFonts w:cs="Times New Roman"/>
                <w:b/>
                <w:bCs/>
                <w:sz w:val="24"/>
                <w:szCs w:val="24"/>
                <w:rtl/>
                <w:lang w:val="en-GB"/>
              </w:rPr>
            </w:pPr>
            <w:r>
              <w:rPr>
                <w:rFonts w:cs="Times New Roman"/>
                <w:b/>
                <w:bCs/>
                <w:sz w:val="24"/>
                <w:szCs w:val="24"/>
              </w:rPr>
              <w:t xml:space="preserve">Table 17: </w:t>
            </w:r>
          </w:p>
        </w:tc>
        <w:tc>
          <w:tcPr>
            <w:tcW w:w="7179" w:type="dxa"/>
          </w:tcPr>
          <w:p w:rsidR="00E11A11" w:rsidRDefault="00E11A11" w:rsidP="003916F1">
            <w:pPr>
              <w:spacing w:before="100" w:beforeAutospacing="1"/>
              <w:jc w:val="lowKashida"/>
              <w:rPr>
                <w:rFonts w:cs="Times New Roman"/>
                <w:sz w:val="24"/>
                <w:szCs w:val="24"/>
                <w:rtl/>
                <w:lang w:val="en-GB"/>
              </w:rPr>
            </w:pPr>
            <w:r>
              <w:rPr>
                <w:rFonts w:cs="Times New Roman"/>
                <w:sz w:val="24"/>
                <w:szCs w:val="24"/>
              </w:rPr>
              <w:t>Number of Settlements in the West Bank, by Governorate and Geographical Dispersion, 2010</w:t>
            </w:r>
          </w:p>
        </w:tc>
        <w:tc>
          <w:tcPr>
            <w:tcW w:w="850" w:type="dxa"/>
          </w:tcPr>
          <w:p w:rsidR="00E11A11" w:rsidRDefault="00E11A11" w:rsidP="00A7565D">
            <w:pPr>
              <w:spacing w:before="100" w:beforeAutospacing="1"/>
              <w:jc w:val="center"/>
              <w:rPr>
                <w:rFonts w:cs="Times New Roman"/>
                <w:b/>
                <w:bCs/>
                <w:sz w:val="24"/>
                <w:szCs w:val="24"/>
                <w:rtl/>
                <w:lang w:val="en-GB"/>
              </w:rPr>
            </w:pPr>
            <w:r>
              <w:rPr>
                <w:rFonts w:cs="Times New Roman"/>
                <w:b/>
                <w:bCs/>
                <w:sz w:val="24"/>
                <w:szCs w:val="24"/>
                <w:lang w:val="en-GB"/>
              </w:rPr>
              <w:t>63</w:t>
            </w:r>
          </w:p>
        </w:tc>
      </w:tr>
      <w:tr w:rsidR="00E11A11" w:rsidTr="00932B3F">
        <w:trPr>
          <w:trHeight w:hRule="exact" w:val="113"/>
          <w:jc w:val="center"/>
        </w:trPr>
        <w:tc>
          <w:tcPr>
            <w:tcW w:w="1238" w:type="dxa"/>
          </w:tcPr>
          <w:p w:rsidR="00E11A11" w:rsidRDefault="00E11A11" w:rsidP="00A7565D">
            <w:pPr>
              <w:spacing w:before="100" w:beforeAutospacing="1"/>
              <w:jc w:val="lowKashida"/>
              <w:rPr>
                <w:rFonts w:cs="Times New Roman"/>
                <w:b/>
                <w:bCs/>
                <w:sz w:val="24"/>
                <w:szCs w:val="24"/>
              </w:rPr>
            </w:pPr>
          </w:p>
        </w:tc>
        <w:tc>
          <w:tcPr>
            <w:tcW w:w="7179" w:type="dxa"/>
          </w:tcPr>
          <w:p w:rsidR="00E11A11" w:rsidRDefault="00E11A11" w:rsidP="003916F1">
            <w:pPr>
              <w:spacing w:before="100" w:beforeAutospacing="1"/>
              <w:jc w:val="lowKashida"/>
              <w:rPr>
                <w:rFonts w:cs="Times New Roman"/>
                <w:sz w:val="24"/>
                <w:szCs w:val="24"/>
              </w:rPr>
            </w:pPr>
          </w:p>
        </w:tc>
        <w:tc>
          <w:tcPr>
            <w:tcW w:w="850" w:type="dxa"/>
          </w:tcPr>
          <w:p w:rsidR="00E11A11" w:rsidRDefault="00E11A11" w:rsidP="00A7565D">
            <w:pPr>
              <w:spacing w:before="100" w:beforeAutospacing="1"/>
              <w:jc w:val="center"/>
              <w:rPr>
                <w:rFonts w:cs="Times New Roman"/>
                <w:b/>
                <w:bCs/>
                <w:sz w:val="24"/>
                <w:szCs w:val="24"/>
                <w:lang w:val="en-GB"/>
              </w:rPr>
            </w:pPr>
          </w:p>
        </w:tc>
      </w:tr>
      <w:tr w:rsidR="00E11A11" w:rsidTr="00932B3F">
        <w:trPr>
          <w:cantSplit/>
          <w:jc w:val="center"/>
        </w:trPr>
        <w:tc>
          <w:tcPr>
            <w:tcW w:w="1238" w:type="dxa"/>
          </w:tcPr>
          <w:p w:rsidR="00E11A11" w:rsidRDefault="00E11A11" w:rsidP="00A7565D">
            <w:pPr>
              <w:spacing w:before="100" w:beforeAutospacing="1"/>
              <w:jc w:val="lowKashida"/>
              <w:rPr>
                <w:rFonts w:cs="Times New Roman"/>
                <w:b/>
                <w:bCs/>
                <w:sz w:val="24"/>
                <w:szCs w:val="24"/>
                <w:rtl/>
                <w:lang w:val="en-GB"/>
              </w:rPr>
            </w:pPr>
            <w:r>
              <w:rPr>
                <w:rFonts w:cs="Times New Roman"/>
                <w:b/>
                <w:bCs/>
                <w:sz w:val="24"/>
                <w:szCs w:val="24"/>
              </w:rPr>
              <w:t xml:space="preserve">Table 18: </w:t>
            </w:r>
          </w:p>
        </w:tc>
        <w:tc>
          <w:tcPr>
            <w:tcW w:w="7179" w:type="dxa"/>
          </w:tcPr>
          <w:p w:rsidR="00E11A11" w:rsidRDefault="00E11A11" w:rsidP="003916F1">
            <w:pPr>
              <w:spacing w:before="100" w:beforeAutospacing="1"/>
              <w:jc w:val="lowKashida"/>
              <w:rPr>
                <w:rFonts w:cs="Times New Roman"/>
                <w:sz w:val="24"/>
                <w:szCs w:val="24"/>
                <w:rtl/>
                <w:lang w:val="en-GB"/>
              </w:rPr>
            </w:pPr>
            <w:r>
              <w:rPr>
                <w:rFonts w:cs="Times New Roman"/>
                <w:sz w:val="24"/>
                <w:szCs w:val="24"/>
              </w:rPr>
              <w:t>Number of Settlers in the Settlements in the West Bank, by Governorate and Geographical Dispersion, 2010</w:t>
            </w:r>
          </w:p>
        </w:tc>
        <w:tc>
          <w:tcPr>
            <w:tcW w:w="850" w:type="dxa"/>
          </w:tcPr>
          <w:p w:rsidR="00E11A11" w:rsidRDefault="00E11A11" w:rsidP="00A7565D">
            <w:pPr>
              <w:spacing w:before="100" w:beforeAutospacing="1"/>
              <w:jc w:val="center"/>
              <w:rPr>
                <w:rFonts w:cs="Times New Roman"/>
                <w:b/>
                <w:bCs/>
                <w:sz w:val="24"/>
                <w:szCs w:val="24"/>
                <w:rtl/>
                <w:lang w:val="en-GB"/>
              </w:rPr>
            </w:pPr>
            <w:r>
              <w:rPr>
                <w:rFonts w:cs="Times New Roman"/>
                <w:b/>
                <w:bCs/>
                <w:sz w:val="24"/>
                <w:szCs w:val="24"/>
                <w:lang w:val="en-GB"/>
              </w:rPr>
              <w:t>64</w:t>
            </w:r>
          </w:p>
        </w:tc>
      </w:tr>
      <w:tr w:rsidR="00E11A11" w:rsidTr="00932B3F">
        <w:trPr>
          <w:trHeight w:hRule="exact" w:val="113"/>
          <w:jc w:val="center"/>
        </w:trPr>
        <w:tc>
          <w:tcPr>
            <w:tcW w:w="1238" w:type="dxa"/>
          </w:tcPr>
          <w:p w:rsidR="00E11A11" w:rsidRDefault="00E11A11" w:rsidP="00A7565D">
            <w:pPr>
              <w:spacing w:before="100" w:beforeAutospacing="1"/>
              <w:jc w:val="lowKashida"/>
              <w:rPr>
                <w:rFonts w:cs="Times New Roman"/>
                <w:b/>
                <w:bCs/>
                <w:sz w:val="24"/>
                <w:szCs w:val="24"/>
              </w:rPr>
            </w:pPr>
          </w:p>
        </w:tc>
        <w:tc>
          <w:tcPr>
            <w:tcW w:w="7179" w:type="dxa"/>
          </w:tcPr>
          <w:p w:rsidR="00E11A11" w:rsidRDefault="00E11A11" w:rsidP="003916F1">
            <w:pPr>
              <w:spacing w:before="100" w:beforeAutospacing="1"/>
              <w:jc w:val="lowKashida"/>
              <w:rPr>
                <w:rFonts w:cs="Times New Roman"/>
                <w:sz w:val="24"/>
                <w:szCs w:val="24"/>
              </w:rPr>
            </w:pPr>
          </w:p>
        </w:tc>
        <w:tc>
          <w:tcPr>
            <w:tcW w:w="850" w:type="dxa"/>
          </w:tcPr>
          <w:p w:rsidR="00E11A11" w:rsidRDefault="00E11A11" w:rsidP="00A7565D">
            <w:pPr>
              <w:spacing w:before="100" w:beforeAutospacing="1"/>
              <w:jc w:val="center"/>
              <w:rPr>
                <w:rFonts w:cs="Times New Roman"/>
                <w:b/>
                <w:bCs/>
                <w:sz w:val="24"/>
                <w:szCs w:val="24"/>
                <w:lang w:val="en-GB"/>
              </w:rPr>
            </w:pPr>
          </w:p>
        </w:tc>
      </w:tr>
      <w:tr w:rsidR="00E11A11" w:rsidTr="00932B3F">
        <w:trPr>
          <w:jc w:val="center"/>
        </w:trPr>
        <w:tc>
          <w:tcPr>
            <w:tcW w:w="1238" w:type="dxa"/>
          </w:tcPr>
          <w:p w:rsidR="00E11A11" w:rsidRDefault="00E11A11" w:rsidP="00A7565D">
            <w:pPr>
              <w:spacing w:before="100" w:beforeAutospacing="1"/>
              <w:jc w:val="lowKashida"/>
              <w:rPr>
                <w:rFonts w:cs="Times New Roman"/>
                <w:b/>
                <w:bCs/>
                <w:sz w:val="24"/>
                <w:szCs w:val="24"/>
                <w:rtl/>
                <w:lang w:val="en-GB"/>
              </w:rPr>
            </w:pPr>
            <w:r>
              <w:rPr>
                <w:rFonts w:cs="Times New Roman"/>
                <w:b/>
                <w:bCs/>
                <w:sz w:val="24"/>
                <w:szCs w:val="24"/>
              </w:rPr>
              <w:t xml:space="preserve">Table 19: </w:t>
            </w:r>
          </w:p>
        </w:tc>
        <w:tc>
          <w:tcPr>
            <w:tcW w:w="7179" w:type="dxa"/>
          </w:tcPr>
          <w:p w:rsidR="00E11A11" w:rsidRDefault="00E11A11" w:rsidP="003916F1">
            <w:pPr>
              <w:spacing w:before="100" w:beforeAutospacing="1"/>
              <w:jc w:val="lowKashida"/>
              <w:rPr>
                <w:rFonts w:cs="Times New Roman"/>
                <w:sz w:val="24"/>
                <w:szCs w:val="24"/>
                <w:rtl/>
                <w:lang w:val="en-GB"/>
              </w:rPr>
            </w:pPr>
            <w:r>
              <w:rPr>
                <w:rFonts w:cs="Times New Roman"/>
                <w:sz w:val="24"/>
                <w:szCs w:val="24"/>
              </w:rPr>
              <w:t>Number of Settlements in the West Bank, by Governorate and Average Altitude (Meter), 2010</w:t>
            </w:r>
          </w:p>
        </w:tc>
        <w:tc>
          <w:tcPr>
            <w:tcW w:w="850" w:type="dxa"/>
          </w:tcPr>
          <w:p w:rsidR="00E11A11" w:rsidRDefault="00E11A11" w:rsidP="00A7565D">
            <w:pPr>
              <w:spacing w:before="100" w:beforeAutospacing="1"/>
              <w:jc w:val="center"/>
              <w:rPr>
                <w:rFonts w:cs="Times New Roman"/>
                <w:b/>
                <w:bCs/>
                <w:sz w:val="24"/>
                <w:szCs w:val="24"/>
                <w:rtl/>
                <w:lang w:val="en-GB"/>
              </w:rPr>
            </w:pPr>
            <w:r>
              <w:rPr>
                <w:rFonts w:cs="Times New Roman"/>
                <w:b/>
                <w:bCs/>
                <w:sz w:val="24"/>
                <w:szCs w:val="24"/>
                <w:lang w:val="en-GB"/>
              </w:rPr>
              <w:t>65</w:t>
            </w:r>
          </w:p>
        </w:tc>
      </w:tr>
      <w:tr w:rsidR="00E11A11" w:rsidTr="00932B3F">
        <w:trPr>
          <w:trHeight w:hRule="exact" w:val="113"/>
          <w:jc w:val="center"/>
        </w:trPr>
        <w:tc>
          <w:tcPr>
            <w:tcW w:w="1238" w:type="dxa"/>
          </w:tcPr>
          <w:p w:rsidR="00E11A11" w:rsidRDefault="00E11A11" w:rsidP="00A7565D">
            <w:pPr>
              <w:spacing w:before="100" w:beforeAutospacing="1"/>
              <w:jc w:val="lowKashida"/>
              <w:rPr>
                <w:rFonts w:cs="Times New Roman"/>
                <w:b/>
                <w:bCs/>
                <w:sz w:val="24"/>
                <w:szCs w:val="24"/>
              </w:rPr>
            </w:pPr>
          </w:p>
        </w:tc>
        <w:tc>
          <w:tcPr>
            <w:tcW w:w="7179" w:type="dxa"/>
          </w:tcPr>
          <w:p w:rsidR="00E11A11" w:rsidRDefault="00E11A11" w:rsidP="003916F1">
            <w:pPr>
              <w:spacing w:before="100" w:beforeAutospacing="1"/>
              <w:jc w:val="lowKashida"/>
              <w:rPr>
                <w:rFonts w:cs="Times New Roman"/>
                <w:sz w:val="24"/>
                <w:szCs w:val="24"/>
              </w:rPr>
            </w:pPr>
          </w:p>
        </w:tc>
        <w:tc>
          <w:tcPr>
            <w:tcW w:w="850" w:type="dxa"/>
          </w:tcPr>
          <w:p w:rsidR="00E11A11" w:rsidRDefault="00E11A11" w:rsidP="00A7565D">
            <w:pPr>
              <w:spacing w:before="100" w:beforeAutospacing="1"/>
              <w:jc w:val="center"/>
              <w:rPr>
                <w:rFonts w:cs="Times New Roman"/>
                <w:b/>
                <w:bCs/>
                <w:sz w:val="24"/>
                <w:szCs w:val="24"/>
                <w:lang w:val="en-GB"/>
              </w:rPr>
            </w:pPr>
          </w:p>
        </w:tc>
      </w:tr>
      <w:tr w:rsidR="00E11A11" w:rsidTr="00932B3F">
        <w:trPr>
          <w:jc w:val="center"/>
        </w:trPr>
        <w:tc>
          <w:tcPr>
            <w:tcW w:w="1238" w:type="dxa"/>
          </w:tcPr>
          <w:p w:rsidR="00E11A11" w:rsidRDefault="00E11A11" w:rsidP="00A7565D">
            <w:pPr>
              <w:spacing w:before="100" w:beforeAutospacing="1"/>
              <w:jc w:val="lowKashida"/>
              <w:rPr>
                <w:rFonts w:cs="Times New Roman"/>
                <w:b/>
                <w:bCs/>
                <w:sz w:val="24"/>
                <w:szCs w:val="24"/>
                <w:rtl/>
                <w:lang w:val="en-GB"/>
              </w:rPr>
            </w:pPr>
            <w:r>
              <w:rPr>
                <w:rFonts w:cs="Times New Roman"/>
                <w:b/>
                <w:bCs/>
                <w:sz w:val="24"/>
                <w:szCs w:val="24"/>
              </w:rPr>
              <w:t xml:space="preserve">Table 20: </w:t>
            </w:r>
          </w:p>
        </w:tc>
        <w:tc>
          <w:tcPr>
            <w:tcW w:w="7179" w:type="dxa"/>
          </w:tcPr>
          <w:p w:rsidR="00E11A11" w:rsidRDefault="00E11A11" w:rsidP="003916F1">
            <w:pPr>
              <w:spacing w:before="100" w:beforeAutospacing="1"/>
              <w:jc w:val="lowKashida"/>
              <w:rPr>
                <w:rFonts w:cs="Times New Roman"/>
                <w:sz w:val="24"/>
                <w:szCs w:val="24"/>
                <w:rtl/>
                <w:lang w:val="en-GB"/>
              </w:rPr>
            </w:pPr>
            <w:r>
              <w:rPr>
                <w:rFonts w:cs="Times New Roman"/>
                <w:sz w:val="24"/>
                <w:szCs w:val="24"/>
              </w:rPr>
              <w:t>Number of Settlers in the Settlements in the West Bank, by Governorate and Average Altitude (Meter), 2010</w:t>
            </w:r>
          </w:p>
        </w:tc>
        <w:tc>
          <w:tcPr>
            <w:tcW w:w="850" w:type="dxa"/>
          </w:tcPr>
          <w:p w:rsidR="00E11A11" w:rsidRDefault="00E11A11" w:rsidP="00A7565D">
            <w:pPr>
              <w:spacing w:before="100" w:beforeAutospacing="1"/>
              <w:jc w:val="center"/>
              <w:rPr>
                <w:rFonts w:cs="Times New Roman"/>
                <w:b/>
                <w:bCs/>
                <w:sz w:val="24"/>
                <w:rtl/>
                <w:lang w:val="en-GB"/>
              </w:rPr>
            </w:pPr>
            <w:r>
              <w:rPr>
                <w:rFonts w:cs="Times New Roman"/>
                <w:b/>
                <w:bCs/>
                <w:sz w:val="24"/>
                <w:lang w:val="en-GB"/>
              </w:rPr>
              <w:t>66</w:t>
            </w:r>
          </w:p>
        </w:tc>
      </w:tr>
      <w:tr w:rsidR="00E11A11" w:rsidTr="00932B3F">
        <w:trPr>
          <w:trHeight w:hRule="exact" w:val="113"/>
          <w:jc w:val="center"/>
        </w:trPr>
        <w:tc>
          <w:tcPr>
            <w:tcW w:w="1238" w:type="dxa"/>
          </w:tcPr>
          <w:p w:rsidR="00E11A11" w:rsidRDefault="00E11A11" w:rsidP="00A7565D">
            <w:pPr>
              <w:spacing w:before="100" w:beforeAutospacing="1"/>
              <w:jc w:val="lowKashida"/>
              <w:rPr>
                <w:rFonts w:cs="Times New Roman"/>
                <w:b/>
                <w:bCs/>
                <w:sz w:val="24"/>
                <w:szCs w:val="24"/>
              </w:rPr>
            </w:pPr>
          </w:p>
        </w:tc>
        <w:tc>
          <w:tcPr>
            <w:tcW w:w="7179" w:type="dxa"/>
          </w:tcPr>
          <w:p w:rsidR="00E11A11" w:rsidRDefault="00E11A11" w:rsidP="003916F1">
            <w:pPr>
              <w:spacing w:before="100" w:beforeAutospacing="1"/>
              <w:jc w:val="lowKashida"/>
              <w:rPr>
                <w:rFonts w:cs="Times New Roman"/>
                <w:sz w:val="24"/>
                <w:szCs w:val="24"/>
              </w:rPr>
            </w:pPr>
          </w:p>
        </w:tc>
        <w:tc>
          <w:tcPr>
            <w:tcW w:w="850" w:type="dxa"/>
          </w:tcPr>
          <w:p w:rsidR="00E11A11" w:rsidRDefault="00E11A11" w:rsidP="00A7565D">
            <w:pPr>
              <w:spacing w:before="100" w:beforeAutospacing="1"/>
              <w:jc w:val="center"/>
              <w:rPr>
                <w:rFonts w:cs="Times New Roman"/>
                <w:b/>
                <w:bCs/>
                <w:sz w:val="24"/>
                <w:szCs w:val="24"/>
                <w:lang w:val="en-GB"/>
              </w:rPr>
            </w:pPr>
          </w:p>
        </w:tc>
      </w:tr>
      <w:tr w:rsidR="00E11A11" w:rsidTr="00932B3F">
        <w:trPr>
          <w:jc w:val="center"/>
        </w:trPr>
        <w:tc>
          <w:tcPr>
            <w:tcW w:w="1238" w:type="dxa"/>
          </w:tcPr>
          <w:p w:rsidR="00E11A11" w:rsidRDefault="00E11A11" w:rsidP="00A7565D">
            <w:pPr>
              <w:spacing w:before="100" w:beforeAutospacing="1"/>
              <w:jc w:val="lowKashida"/>
              <w:rPr>
                <w:rFonts w:cs="Times New Roman"/>
                <w:b/>
                <w:bCs/>
                <w:sz w:val="24"/>
                <w:szCs w:val="24"/>
                <w:rtl/>
                <w:lang w:val="en-GB"/>
              </w:rPr>
            </w:pPr>
            <w:r>
              <w:rPr>
                <w:rFonts w:cs="Times New Roman"/>
                <w:b/>
                <w:bCs/>
                <w:sz w:val="24"/>
                <w:szCs w:val="24"/>
              </w:rPr>
              <w:lastRenderedPageBreak/>
              <w:t xml:space="preserve">Table 21: </w:t>
            </w:r>
          </w:p>
        </w:tc>
        <w:tc>
          <w:tcPr>
            <w:tcW w:w="7179" w:type="dxa"/>
          </w:tcPr>
          <w:p w:rsidR="00E11A11" w:rsidRDefault="00E11A11" w:rsidP="003916F1">
            <w:pPr>
              <w:spacing w:before="100" w:beforeAutospacing="1"/>
              <w:jc w:val="lowKashida"/>
              <w:rPr>
                <w:rFonts w:cs="Times New Roman"/>
                <w:sz w:val="24"/>
                <w:szCs w:val="24"/>
                <w:rtl/>
                <w:lang w:val="en-GB"/>
              </w:rPr>
            </w:pPr>
            <w:r>
              <w:rPr>
                <w:rFonts w:cs="Times New Roman"/>
                <w:sz w:val="24"/>
                <w:szCs w:val="24"/>
              </w:rPr>
              <w:t>Number of Rural Settlements in the West Bank, by Governorate and Overwhelming Ideology, 2010</w:t>
            </w:r>
          </w:p>
        </w:tc>
        <w:tc>
          <w:tcPr>
            <w:tcW w:w="850" w:type="dxa"/>
          </w:tcPr>
          <w:p w:rsidR="00E11A11" w:rsidRDefault="00E11A11" w:rsidP="00A7565D">
            <w:pPr>
              <w:spacing w:before="100" w:beforeAutospacing="1"/>
              <w:jc w:val="center"/>
              <w:rPr>
                <w:rFonts w:cs="Times New Roman"/>
                <w:b/>
                <w:bCs/>
                <w:sz w:val="24"/>
                <w:szCs w:val="24"/>
                <w:rtl/>
                <w:lang w:val="en-GB"/>
              </w:rPr>
            </w:pPr>
            <w:r>
              <w:rPr>
                <w:rFonts w:cs="Times New Roman"/>
                <w:b/>
                <w:bCs/>
                <w:sz w:val="24"/>
                <w:szCs w:val="24"/>
                <w:lang w:val="en-GB"/>
              </w:rPr>
              <w:t>67</w:t>
            </w:r>
          </w:p>
        </w:tc>
      </w:tr>
      <w:tr w:rsidR="00E11A11" w:rsidTr="00932B3F">
        <w:trPr>
          <w:trHeight w:hRule="exact" w:val="113"/>
          <w:jc w:val="center"/>
        </w:trPr>
        <w:tc>
          <w:tcPr>
            <w:tcW w:w="1238" w:type="dxa"/>
          </w:tcPr>
          <w:p w:rsidR="00E11A11" w:rsidRDefault="00E11A11" w:rsidP="00A7565D">
            <w:pPr>
              <w:spacing w:before="100" w:beforeAutospacing="1"/>
              <w:jc w:val="lowKashida"/>
              <w:rPr>
                <w:rFonts w:cs="Times New Roman"/>
                <w:b/>
                <w:bCs/>
                <w:sz w:val="24"/>
                <w:szCs w:val="24"/>
              </w:rPr>
            </w:pPr>
          </w:p>
        </w:tc>
        <w:tc>
          <w:tcPr>
            <w:tcW w:w="7179" w:type="dxa"/>
          </w:tcPr>
          <w:p w:rsidR="00E11A11" w:rsidRDefault="00E11A11" w:rsidP="003916F1">
            <w:pPr>
              <w:spacing w:before="100" w:beforeAutospacing="1"/>
              <w:jc w:val="lowKashida"/>
              <w:rPr>
                <w:rFonts w:cs="Times New Roman"/>
                <w:sz w:val="24"/>
                <w:szCs w:val="24"/>
              </w:rPr>
            </w:pPr>
          </w:p>
        </w:tc>
        <w:tc>
          <w:tcPr>
            <w:tcW w:w="850" w:type="dxa"/>
          </w:tcPr>
          <w:p w:rsidR="00E11A11" w:rsidRDefault="00E11A11" w:rsidP="00A7565D">
            <w:pPr>
              <w:spacing w:before="100" w:beforeAutospacing="1"/>
              <w:jc w:val="center"/>
              <w:rPr>
                <w:rFonts w:cs="Times New Roman"/>
                <w:b/>
                <w:bCs/>
                <w:sz w:val="24"/>
                <w:szCs w:val="24"/>
                <w:lang w:val="en-GB"/>
              </w:rPr>
            </w:pPr>
          </w:p>
        </w:tc>
      </w:tr>
      <w:tr w:rsidR="00E11A11" w:rsidTr="00932B3F">
        <w:trPr>
          <w:jc w:val="center"/>
        </w:trPr>
        <w:tc>
          <w:tcPr>
            <w:tcW w:w="1238" w:type="dxa"/>
          </w:tcPr>
          <w:p w:rsidR="00E11A11" w:rsidRDefault="00E11A11" w:rsidP="00A7565D">
            <w:pPr>
              <w:spacing w:before="100" w:beforeAutospacing="1"/>
              <w:jc w:val="lowKashida"/>
              <w:rPr>
                <w:rFonts w:cs="Times New Roman"/>
                <w:b/>
                <w:bCs/>
                <w:sz w:val="24"/>
                <w:szCs w:val="24"/>
                <w:rtl/>
                <w:lang w:val="en-GB"/>
              </w:rPr>
            </w:pPr>
            <w:r>
              <w:rPr>
                <w:rFonts w:cs="Times New Roman"/>
                <w:b/>
                <w:bCs/>
                <w:sz w:val="24"/>
                <w:szCs w:val="24"/>
              </w:rPr>
              <w:t xml:space="preserve">Table 22: </w:t>
            </w:r>
          </w:p>
        </w:tc>
        <w:tc>
          <w:tcPr>
            <w:tcW w:w="7179" w:type="dxa"/>
          </w:tcPr>
          <w:p w:rsidR="00E11A11" w:rsidRDefault="00E11A11" w:rsidP="003916F1">
            <w:pPr>
              <w:spacing w:before="100" w:beforeAutospacing="1"/>
              <w:jc w:val="lowKashida"/>
              <w:rPr>
                <w:rFonts w:cs="Times New Roman"/>
                <w:sz w:val="24"/>
                <w:szCs w:val="24"/>
                <w:rtl/>
                <w:lang w:val="en-GB"/>
              </w:rPr>
            </w:pPr>
            <w:r>
              <w:rPr>
                <w:rFonts w:cs="Times New Roman"/>
                <w:sz w:val="24"/>
                <w:szCs w:val="24"/>
              </w:rPr>
              <w:t>Number of Settlers in the Rural Settlements in the West Bank, by Governorate and Overwhelming Ideology, 2010</w:t>
            </w:r>
          </w:p>
        </w:tc>
        <w:tc>
          <w:tcPr>
            <w:tcW w:w="850" w:type="dxa"/>
          </w:tcPr>
          <w:p w:rsidR="00E11A11" w:rsidRDefault="00E11A11" w:rsidP="00A7565D">
            <w:pPr>
              <w:spacing w:before="100" w:beforeAutospacing="1"/>
              <w:jc w:val="center"/>
              <w:rPr>
                <w:rFonts w:cs="Times New Roman"/>
                <w:b/>
                <w:bCs/>
                <w:sz w:val="24"/>
                <w:rtl/>
                <w:lang w:val="en-GB"/>
              </w:rPr>
            </w:pPr>
            <w:r>
              <w:rPr>
                <w:rFonts w:cs="Times New Roman"/>
                <w:b/>
                <w:bCs/>
                <w:sz w:val="24"/>
                <w:lang w:val="en-GB"/>
              </w:rPr>
              <w:t>68</w:t>
            </w:r>
          </w:p>
        </w:tc>
      </w:tr>
      <w:tr w:rsidR="00E11A11" w:rsidTr="00932B3F">
        <w:trPr>
          <w:trHeight w:hRule="exact" w:val="113"/>
          <w:jc w:val="center"/>
        </w:trPr>
        <w:tc>
          <w:tcPr>
            <w:tcW w:w="1238" w:type="dxa"/>
          </w:tcPr>
          <w:p w:rsidR="00E11A11" w:rsidRDefault="00E11A11" w:rsidP="00A7565D">
            <w:pPr>
              <w:spacing w:before="100" w:beforeAutospacing="1"/>
              <w:jc w:val="lowKashida"/>
              <w:rPr>
                <w:rFonts w:cs="Times New Roman"/>
                <w:b/>
                <w:bCs/>
                <w:sz w:val="24"/>
                <w:szCs w:val="24"/>
              </w:rPr>
            </w:pPr>
          </w:p>
        </w:tc>
        <w:tc>
          <w:tcPr>
            <w:tcW w:w="7179" w:type="dxa"/>
          </w:tcPr>
          <w:p w:rsidR="00E11A11" w:rsidRDefault="00E11A11" w:rsidP="003916F1">
            <w:pPr>
              <w:spacing w:before="100" w:beforeAutospacing="1"/>
              <w:jc w:val="lowKashida"/>
              <w:rPr>
                <w:rFonts w:cs="Times New Roman"/>
                <w:sz w:val="24"/>
                <w:szCs w:val="24"/>
              </w:rPr>
            </w:pPr>
          </w:p>
        </w:tc>
        <w:tc>
          <w:tcPr>
            <w:tcW w:w="850" w:type="dxa"/>
          </w:tcPr>
          <w:p w:rsidR="00E11A11" w:rsidRDefault="00E11A11" w:rsidP="00A7565D">
            <w:pPr>
              <w:spacing w:before="100" w:beforeAutospacing="1"/>
              <w:jc w:val="center"/>
              <w:rPr>
                <w:rFonts w:cs="Times New Roman"/>
                <w:b/>
                <w:bCs/>
                <w:sz w:val="24"/>
                <w:szCs w:val="24"/>
                <w:lang w:val="en-GB"/>
              </w:rPr>
            </w:pPr>
          </w:p>
        </w:tc>
      </w:tr>
      <w:tr w:rsidR="00E11A11" w:rsidTr="00932B3F">
        <w:trPr>
          <w:jc w:val="center"/>
        </w:trPr>
        <w:tc>
          <w:tcPr>
            <w:tcW w:w="1238" w:type="dxa"/>
          </w:tcPr>
          <w:p w:rsidR="00E11A11" w:rsidRDefault="00E11A11" w:rsidP="00A7565D">
            <w:pPr>
              <w:spacing w:before="100" w:beforeAutospacing="1"/>
              <w:jc w:val="lowKashida"/>
              <w:rPr>
                <w:rFonts w:cs="Times New Roman"/>
                <w:b/>
                <w:bCs/>
                <w:sz w:val="24"/>
                <w:szCs w:val="24"/>
                <w:rtl/>
                <w:lang w:val="en-GB"/>
              </w:rPr>
            </w:pPr>
            <w:r>
              <w:rPr>
                <w:rFonts w:cs="Times New Roman"/>
                <w:b/>
                <w:bCs/>
                <w:sz w:val="24"/>
                <w:szCs w:val="24"/>
              </w:rPr>
              <w:t xml:space="preserve">Table 23: </w:t>
            </w:r>
          </w:p>
        </w:tc>
        <w:tc>
          <w:tcPr>
            <w:tcW w:w="7179" w:type="dxa"/>
          </w:tcPr>
          <w:p w:rsidR="00E11A11" w:rsidRDefault="00E11A11" w:rsidP="003916F1">
            <w:pPr>
              <w:spacing w:before="100" w:beforeAutospacing="1"/>
              <w:jc w:val="lowKashida"/>
              <w:rPr>
                <w:rFonts w:cs="Times New Roman"/>
                <w:sz w:val="24"/>
                <w:szCs w:val="24"/>
                <w:rtl/>
                <w:lang w:val="en-GB"/>
              </w:rPr>
            </w:pPr>
            <w:r>
              <w:rPr>
                <w:rFonts w:cs="Times New Roman"/>
                <w:sz w:val="24"/>
                <w:szCs w:val="24"/>
              </w:rPr>
              <w:t>Number of Rural Settlements in the West Bank, by Governorate and Organizational Affiliation, 2010</w:t>
            </w:r>
          </w:p>
        </w:tc>
        <w:tc>
          <w:tcPr>
            <w:tcW w:w="850" w:type="dxa"/>
          </w:tcPr>
          <w:p w:rsidR="00E11A11" w:rsidRDefault="00E11A11" w:rsidP="00A7565D">
            <w:pPr>
              <w:spacing w:before="100" w:beforeAutospacing="1"/>
              <w:jc w:val="center"/>
              <w:rPr>
                <w:rFonts w:cs="Times New Roman"/>
                <w:b/>
                <w:bCs/>
                <w:sz w:val="24"/>
                <w:szCs w:val="24"/>
                <w:rtl/>
              </w:rPr>
            </w:pPr>
            <w:r>
              <w:rPr>
                <w:rFonts w:cs="Times New Roman"/>
                <w:b/>
                <w:bCs/>
                <w:sz w:val="24"/>
                <w:szCs w:val="24"/>
              </w:rPr>
              <w:t>69</w:t>
            </w:r>
          </w:p>
        </w:tc>
      </w:tr>
      <w:tr w:rsidR="00E11A11" w:rsidTr="00932B3F">
        <w:trPr>
          <w:trHeight w:hRule="exact" w:val="113"/>
          <w:jc w:val="center"/>
        </w:trPr>
        <w:tc>
          <w:tcPr>
            <w:tcW w:w="1238" w:type="dxa"/>
          </w:tcPr>
          <w:p w:rsidR="00E11A11" w:rsidRDefault="00E11A11" w:rsidP="00A7565D">
            <w:pPr>
              <w:spacing w:before="100" w:beforeAutospacing="1"/>
              <w:jc w:val="lowKashida"/>
              <w:rPr>
                <w:rFonts w:cs="Times New Roman"/>
                <w:b/>
                <w:bCs/>
                <w:sz w:val="24"/>
                <w:szCs w:val="24"/>
                <w:rtl/>
                <w:lang w:val="en-GB"/>
              </w:rPr>
            </w:pPr>
            <w:r>
              <w:rPr>
                <w:rFonts w:cs="Times New Roman"/>
                <w:b/>
                <w:bCs/>
                <w:sz w:val="24"/>
                <w:szCs w:val="24"/>
              </w:rPr>
              <w:t xml:space="preserve">: </w:t>
            </w:r>
          </w:p>
        </w:tc>
        <w:tc>
          <w:tcPr>
            <w:tcW w:w="7179" w:type="dxa"/>
          </w:tcPr>
          <w:p w:rsidR="00E11A11" w:rsidRDefault="00E11A11" w:rsidP="003916F1">
            <w:pPr>
              <w:spacing w:before="100" w:beforeAutospacing="1"/>
              <w:jc w:val="lowKashida"/>
              <w:rPr>
                <w:rFonts w:cs="Times New Roman"/>
                <w:sz w:val="24"/>
                <w:szCs w:val="24"/>
              </w:rPr>
            </w:pPr>
          </w:p>
        </w:tc>
        <w:tc>
          <w:tcPr>
            <w:tcW w:w="850" w:type="dxa"/>
          </w:tcPr>
          <w:p w:rsidR="00E11A11" w:rsidRDefault="00E11A11" w:rsidP="00A7565D">
            <w:pPr>
              <w:spacing w:before="100" w:beforeAutospacing="1"/>
              <w:jc w:val="center"/>
              <w:rPr>
                <w:rFonts w:cs="Times New Roman"/>
                <w:b/>
                <w:bCs/>
                <w:sz w:val="24"/>
                <w:szCs w:val="24"/>
                <w:rtl/>
                <w:lang w:val="en-GB"/>
              </w:rPr>
            </w:pPr>
          </w:p>
        </w:tc>
      </w:tr>
      <w:tr w:rsidR="00E11A11" w:rsidTr="00932B3F">
        <w:trPr>
          <w:jc w:val="center"/>
        </w:trPr>
        <w:tc>
          <w:tcPr>
            <w:tcW w:w="1238" w:type="dxa"/>
          </w:tcPr>
          <w:p w:rsidR="00E11A11" w:rsidRDefault="00E11A11" w:rsidP="00A7565D">
            <w:pPr>
              <w:spacing w:before="100" w:beforeAutospacing="1"/>
              <w:jc w:val="lowKashida"/>
              <w:rPr>
                <w:rFonts w:cs="Times New Roman"/>
                <w:b/>
                <w:bCs/>
                <w:sz w:val="24"/>
                <w:szCs w:val="24"/>
              </w:rPr>
            </w:pPr>
            <w:r>
              <w:rPr>
                <w:rFonts w:cs="Times New Roman"/>
                <w:b/>
                <w:bCs/>
                <w:sz w:val="24"/>
                <w:szCs w:val="24"/>
              </w:rPr>
              <w:t>Table 24:</w:t>
            </w:r>
          </w:p>
        </w:tc>
        <w:tc>
          <w:tcPr>
            <w:tcW w:w="7179" w:type="dxa"/>
          </w:tcPr>
          <w:p w:rsidR="00E11A11" w:rsidRDefault="00E11A11" w:rsidP="003916F1">
            <w:pPr>
              <w:spacing w:before="100" w:beforeAutospacing="1"/>
              <w:jc w:val="lowKashida"/>
              <w:rPr>
                <w:rFonts w:cs="Times New Roman"/>
                <w:sz w:val="24"/>
                <w:szCs w:val="24"/>
                <w:rtl/>
                <w:lang w:val="en-GB"/>
              </w:rPr>
            </w:pPr>
            <w:r>
              <w:rPr>
                <w:rFonts w:cs="Times New Roman"/>
                <w:sz w:val="24"/>
                <w:szCs w:val="24"/>
              </w:rPr>
              <w:t>Number of Settlers in the Rural Settlements in the West Bank, by Governorate and Organizational Affiliation, 2010</w:t>
            </w:r>
          </w:p>
        </w:tc>
        <w:tc>
          <w:tcPr>
            <w:tcW w:w="850" w:type="dxa"/>
          </w:tcPr>
          <w:p w:rsidR="00E11A11" w:rsidRDefault="00E11A11" w:rsidP="00A7565D">
            <w:pPr>
              <w:spacing w:before="100" w:beforeAutospacing="1"/>
              <w:jc w:val="center"/>
              <w:rPr>
                <w:rFonts w:cs="Times New Roman"/>
                <w:b/>
                <w:bCs/>
                <w:sz w:val="24"/>
                <w:szCs w:val="24"/>
                <w:lang w:val="en-GB"/>
              </w:rPr>
            </w:pPr>
            <w:r>
              <w:rPr>
                <w:rFonts w:cs="Times New Roman"/>
                <w:b/>
                <w:bCs/>
                <w:sz w:val="24"/>
                <w:szCs w:val="24"/>
                <w:lang w:val="en-GB"/>
              </w:rPr>
              <w:t>70</w:t>
            </w:r>
          </w:p>
        </w:tc>
      </w:tr>
    </w:tbl>
    <w:p w:rsidR="001A3F81" w:rsidRDefault="001A3F81" w:rsidP="001A3F81">
      <w:pPr>
        <w:rPr>
          <w:sz w:val="24"/>
          <w:szCs w:val="24"/>
        </w:rPr>
      </w:pPr>
    </w:p>
    <w:p w:rsidR="003916F1" w:rsidRDefault="001A3F81" w:rsidP="00B55CD7">
      <w:pPr>
        <w:pStyle w:val="BodyText"/>
        <w:jc w:val="center"/>
        <w:rPr>
          <w:b/>
          <w:bCs/>
          <w:sz w:val="28"/>
          <w:szCs w:val="32"/>
        </w:rPr>
      </w:pPr>
      <w:r>
        <w:rPr>
          <w:b/>
          <w:bCs/>
        </w:rPr>
        <w:br w:type="page"/>
      </w:r>
      <w:r w:rsidR="00B55CD7">
        <w:rPr>
          <w:b/>
          <w:bCs/>
          <w:sz w:val="28"/>
          <w:szCs w:val="32"/>
        </w:rPr>
        <w:lastRenderedPageBreak/>
        <w:t>Introduction</w:t>
      </w:r>
    </w:p>
    <w:p w:rsidR="003916F1" w:rsidRDefault="003916F1">
      <w:pPr>
        <w:pStyle w:val="BodyText"/>
        <w:jc w:val="center"/>
        <w:rPr>
          <w:sz w:val="28"/>
          <w:szCs w:val="24"/>
        </w:rPr>
      </w:pPr>
    </w:p>
    <w:p w:rsidR="003916F1" w:rsidRDefault="003916F1" w:rsidP="00DD4D55">
      <w:pPr>
        <w:pStyle w:val="BodyText2"/>
      </w:pPr>
      <w:r>
        <w:t>Israeli settlement activities in the Palestinian Territory constitute the most serious dange</w:t>
      </w:r>
      <w:r w:rsidR="00DD4D55">
        <w:t>r of the Israeli occupation and</w:t>
      </w:r>
      <w:r>
        <w:t xml:space="preserve"> hampers the establishment of a viable national Palestinian state in the West Bank and the Gaza Strip. </w:t>
      </w:r>
      <w:r w:rsidR="00DD4D55">
        <w:t>With supported from</w:t>
      </w:r>
      <w:r>
        <w:t xml:space="preserve"> the Israeli government, </w:t>
      </w:r>
      <w:r w:rsidR="00DD4D55">
        <w:t>many</w:t>
      </w:r>
      <w:r>
        <w:t xml:space="preserve"> Israeli organizations and institutions are working on the implementation of an organized program that aims to expand the settlements in the Palestinian Territory. Indeed, the settlements network and the accompa</w:t>
      </w:r>
      <w:r w:rsidR="00DD4D55">
        <w:t>nying</w:t>
      </w:r>
      <w:r>
        <w:t xml:space="preserve"> changes in demographical and topographical aspects are the main obstacle to establish a Palestinian state in the West Bank and the Gaza Strip with geographical continuity.</w:t>
      </w:r>
    </w:p>
    <w:p w:rsidR="003916F1" w:rsidRDefault="003916F1">
      <w:pPr>
        <w:pStyle w:val="BodyText2"/>
      </w:pPr>
    </w:p>
    <w:p w:rsidR="00DD4D55" w:rsidRDefault="00DD4D55" w:rsidP="00DD4D55">
      <w:pPr>
        <w:pStyle w:val="BodyText2"/>
      </w:pPr>
      <w:r>
        <w:t xml:space="preserve">The Israeli settlement movement not only affects the political stability and security in the Palestinian Territory. It also destroys the social, economic, and environmental balance of Palestinian society and land by hampering the development of Palestinian society, polluting the Palestinian environment, and playing a significant role in controlling, destroying and </w:t>
      </w:r>
      <w:proofErr w:type="spellStart"/>
      <w:r>
        <w:t>cantonizing</w:t>
      </w:r>
      <w:proofErr w:type="spellEnd"/>
      <w:r>
        <w:t xml:space="preserve"> Palestinian communities and territory. Moreover, Israeli settlements are used as military bases to launch aggression, incursions and hostilities against the Palestinian people. The effects of building and expanding Israeli settlements on Palestinian land have been devastating to Palestinian communities  and daily assaults by Israeli settlers are observed by Israeli soldiers without taking any action to halt such activities.</w:t>
      </w:r>
    </w:p>
    <w:p w:rsidR="003916F1" w:rsidRDefault="003916F1">
      <w:pPr>
        <w:pStyle w:val="BodyText2"/>
      </w:pPr>
    </w:p>
    <w:p w:rsidR="00953976" w:rsidRDefault="00953976" w:rsidP="00953976">
      <w:pPr>
        <w:pStyle w:val="BodyText2"/>
      </w:pPr>
      <w:r>
        <w:t xml:space="preserve">We continue to publish annual reports in this series to present the main developments in Israeli settlement activities in the Palestinian Territory. We have focused on presenting quantitative descriptions of a number of main indicators related to settlements and settlers.  </w:t>
      </w:r>
    </w:p>
    <w:p w:rsidR="00953976" w:rsidRDefault="00953976">
      <w:pPr>
        <w:pStyle w:val="BodyText2"/>
      </w:pPr>
    </w:p>
    <w:p w:rsidR="00953976" w:rsidRDefault="00953976" w:rsidP="00953976">
      <w:pPr>
        <w:pStyle w:val="BodyText2"/>
      </w:pPr>
      <w:r>
        <w:t>This report contains statistical data about the population and geographical indicators of Israeli settlements in the West Bank: the number of settlers, the level and nature of settlement, the geographical spread, prevalent ideology, and other related subjects.</w:t>
      </w:r>
    </w:p>
    <w:p w:rsidR="00953976" w:rsidRDefault="00953976" w:rsidP="00953976">
      <w:pPr>
        <w:pStyle w:val="BodyText2"/>
      </w:pPr>
    </w:p>
    <w:p w:rsidR="00743E10" w:rsidRDefault="00743E10" w:rsidP="00953976">
      <w:pPr>
        <w:jc w:val="lowKashida"/>
        <w:rPr>
          <w:sz w:val="24"/>
          <w:szCs w:val="24"/>
        </w:rPr>
      </w:pPr>
      <w:r>
        <w:rPr>
          <w:sz w:val="24"/>
          <w:szCs w:val="24"/>
        </w:rPr>
        <w:t xml:space="preserve">This report is divided into three chapters:  The first chapter contains the main findings.  The second chapter explains the methodology of the collection and tabulation of data, and data quality and </w:t>
      </w:r>
      <w:r w:rsidR="00953976">
        <w:rPr>
          <w:sz w:val="24"/>
          <w:szCs w:val="24"/>
        </w:rPr>
        <w:t xml:space="preserve">the </w:t>
      </w:r>
      <w:r>
        <w:rPr>
          <w:sz w:val="24"/>
          <w:szCs w:val="24"/>
        </w:rPr>
        <w:t xml:space="preserve">assessment of data sources.  </w:t>
      </w:r>
      <w:r w:rsidR="00953976">
        <w:rPr>
          <w:sz w:val="24"/>
          <w:szCs w:val="24"/>
        </w:rPr>
        <w:t>Finally,</w:t>
      </w:r>
      <w:r>
        <w:rPr>
          <w:sz w:val="24"/>
          <w:szCs w:val="24"/>
        </w:rPr>
        <w:t xml:space="preserve"> the third chapter presents the</w:t>
      </w:r>
      <w:r w:rsidRPr="00743E10">
        <w:rPr>
          <w:sz w:val="24"/>
          <w:szCs w:val="24"/>
        </w:rPr>
        <w:t xml:space="preserve"> </w:t>
      </w:r>
      <w:r>
        <w:rPr>
          <w:sz w:val="24"/>
          <w:szCs w:val="24"/>
        </w:rPr>
        <w:t>concepts and definitions in this report</w:t>
      </w:r>
    </w:p>
    <w:p w:rsidR="00743E10" w:rsidRDefault="00743E10" w:rsidP="00743E10">
      <w:pPr>
        <w:rPr>
          <w:sz w:val="24"/>
          <w:szCs w:val="24"/>
        </w:rPr>
      </w:pPr>
    </w:p>
    <w:p w:rsidR="003916F1" w:rsidRDefault="003916F1">
      <w:pPr>
        <w:rPr>
          <w:sz w:val="24"/>
          <w:szCs w:val="24"/>
        </w:rPr>
      </w:pPr>
    </w:p>
    <w:p w:rsidR="003916F1" w:rsidRDefault="003916F1">
      <w:pPr>
        <w:rPr>
          <w:sz w:val="24"/>
          <w:szCs w:val="24"/>
        </w:rPr>
      </w:pPr>
    </w:p>
    <w:tbl>
      <w:tblPr>
        <w:tblW w:w="9356" w:type="dxa"/>
        <w:tblInd w:w="-34" w:type="dxa"/>
        <w:tblLayout w:type="fixed"/>
        <w:tblLook w:val="0000"/>
      </w:tblPr>
      <w:tblGrid>
        <w:gridCol w:w="3129"/>
        <w:gridCol w:w="2683"/>
        <w:gridCol w:w="3544"/>
      </w:tblGrid>
      <w:tr w:rsidR="003916F1">
        <w:trPr>
          <w:cantSplit/>
        </w:trPr>
        <w:tc>
          <w:tcPr>
            <w:tcW w:w="3129" w:type="dxa"/>
          </w:tcPr>
          <w:p w:rsidR="003916F1" w:rsidRDefault="001A3F81">
            <w:pPr>
              <w:jc w:val="lowKashida"/>
              <w:rPr>
                <w:b/>
                <w:bCs/>
                <w:sz w:val="24"/>
              </w:rPr>
            </w:pPr>
            <w:r>
              <w:rPr>
                <w:b/>
                <w:bCs/>
                <w:sz w:val="24"/>
              </w:rPr>
              <w:t>August, 2011</w:t>
            </w:r>
          </w:p>
        </w:tc>
        <w:tc>
          <w:tcPr>
            <w:tcW w:w="2683" w:type="dxa"/>
          </w:tcPr>
          <w:p w:rsidR="003916F1" w:rsidRDefault="003916F1">
            <w:pPr>
              <w:jc w:val="lowKashida"/>
              <w:rPr>
                <w:b/>
                <w:bCs/>
                <w:sz w:val="24"/>
              </w:rPr>
            </w:pPr>
          </w:p>
        </w:tc>
        <w:tc>
          <w:tcPr>
            <w:tcW w:w="3544" w:type="dxa"/>
          </w:tcPr>
          <w:p w:rsidR="003916F1" w:rsidRDefault="003916F1">
            <w:pPr>
              <w:ind w:left="284" w:right="282"/>
              <w:jc w:val="center"/>
              <w:rPr>
                <w:b/>
                <w:bCs/>
                <w:sz w:val="24"/>
                <w:szCs w:val="24"/>
              </w:rPr>
            </w:pPr>
            <w:r>
              <w:rPr>
                <w:b/>
                <w:bCs/>
                <w:sz w:val="24"/>
                <w:szCs w:val="24"/>
              </w:rPr>
              <w:t xml:space="preserve">Ola </w:t>
            </w:r>
            <w:proofErr w:type="spellStart"/>
            <w:r>
              <w:rPr>
                <w:b/>
                <w:bCs/>
                <w:sz w:val="24"/>
                <w:szCs w:val="24"/>
              </w:rPr>
              <w:t>Awad</w:t>
            </w:r>
            <w:proofErr w:type="spellEnd"/>
          </w:p>
        </w:tc>
      </w:tr>
      <w:tr w:rsidR="003916F1">
        <w:trPr>
          <w:cantSplit/>
        </w:trPr>
        <w:tc>
          <w:tcPr>
            <w:tcW w:w="3129" w:type="dxa"/>
          </w:tcPr>
          <w:p w:rsidR="003916F1" w:rsidRDefault="003916F1">
            <w:pPr>
              <w:jc w:val="lowKashida"/>
              <w:rPr>
                <w:b/>
                <w:bCs/>
              </w:rPr>
            </w:pPr>
          </w:p>
        </w:tc>
        <w:tc>
          <w:tcPr>
            <w:tcW w:w="2683" w:type="dxa"/>
          </w:tcPr>
          <w:p w:rsidR="003916F1" w:rsidRDefault="003916F1">
            <w:pPr>
              <w:jc w:val="lowKashida"/>
              <w:rPr>
                <w:b/>
                <w:bCs/>
              </w:rPr>
            </w:pPr>
          </w:p>
        </w:tc>
        <w:tc>
          <w:tcPr>
            <w:tcW w:w="3544" w:type="dxa"/>
          </w:tcPr>
          <w:p w:rsidR="003916F1" w:rsidRDefault="003916F1">
            <w:pPr>
              <w:ind w:left="284" w:right="282"/>
              <w:jc w:val="center"/>
              <w:rPr>
                <w:b/>
                <w:bCs/>
                <w:sz w:val="24"/>
                <w:szCs w:val="24"/>
              </w:rPr>
            </w:pPr>
            <w:r>
              <w:rPr>
                <w:b/>
                <w:bCs/>
                <w:sz w:val="24"/>
                <w:szCs w:val="24"/>
              </w:rPr>
              <w:t xml:space="preserve"> President of PCBS</w:t>
            </w:r>
          </w:p>
        </w:tc>
      </w:tr>
    </w:tbl>
    <w:p w:rsidR="001A3F81" w:rsidRPr="001A3F81" w:rsidRDefault="001A3F81" w:rsidP="001A3F81"/>
    <w:p w:rsidR="001A3F81" w:rsidRPr="001A3F81" w:rsidRDefault="001A3F81" w:rsidP="001A3F81"/>
    <w:p w:rsidR="001A3F81" w:rsidRPr="001A3F81" w:rsidRDefault="001A3F81" w:rsidP="001A3F81"/>
    <w:p w:rsidR="001A3F81" w:rsidRDefault="001A3F81" w:rsidP="001A3F81"/>
    <w:p w:rsidR="001A3F81" w:rsidRPr="001A3F81" w:rsidRDefault="001A3F81" w:rsidP="001A3F81"/>
    <w:p w:rsidR="001A3F81" w:rsidRDefault="001A3F81" w:rsidP="001A3F81"/>
    <w:p w:rsidR="003916F1" w:rsidRDefault="001A3F81" w:rsidP="001A3F81">
      <w:pPr>
        <w:tabs>
          <w:tab w:val="left" w:pos="5793"/>
        </w:tabs>
      </w:pPr>
      <w:r>
        <w:tab/>
      </w:r>
    </w:p>
    <w:p w:rsidR="000E3ED8" w:rsidRDefault="005E1E3C" w:rsidP="005E1E3C">
      <w:pPr>
        <w:pStyle w:val="TxBrp3"/>
        <w:tabs>
          <w:tab w:val="clear" w:pos="1116"/>
          <w:tab w:val="left" w:pos="2155"/>
          <w:tab w:val="left" w:pos="9242"/>
        </w:tabs>
        <w:spacing w:line="283" w:lineRule="exact"/>
        <w:ind w:left="0"/>
        <w:jc w:val="center"/>
        <w:rPr>
          <w:sz w:val="24"/>
        </w:rPr>
        <w:sectPr w:rsidR="000E3ED8" w:rsidSect="00392CA9">
          <w:headerReference w:type="default" r:id="rId11"/>
          <w:pgSz w:w="11909" w:h="16834" w:code="9"/>
          <w:pgMar w:top="1418" w:right="1418" w:bottom="1418" w:left="1418" w:header="720" w:footer="720" w:gutter="0"/>
          <w:pgNumType w:start="25"/>
          <w:cols w:space="720"/>
          <w:bidi/>
          <w:rtlGutter/>
        </w:sectPr>
      </w:pPr>
      <w:r>
        <w:rPr>
          <w:sz w:val="24"/>
        </w:rPr>
        <w:br w:type="page"/>
      </w:r>
    </w:p>
    <w:p w:rsidR="005E1E3C" w:rsidRDefault="005E1E3C" w:rsidP="005E1E3C">
      <w:pPr>
        <w:pStyle w:val="TxBrp3"/>
        <w:tabs>
          <w:tab w:val="clear" w:pos="1116"/>
          <w:tab w:val="left" w:pos="2155"/>
          <w:tab w:val="left" w:pos="9242"/>
        </w:tabs>
        <w:spacing w:line="283" w:lineRule="exact"/>
        <w:ind w:left="0"/>
        <w:jc w:val="center"/>
        <w:rPr>
          <w:sz w:val="24"/>
        </w:rPr>
      </w:pPr>
      <w:r>
        <w:rPr>
          <w:sz w:val="24"/>
        </w:rPr>
        <w:lastRenderedPageBreak/>
        <w:t>Chapter One</w:t>
      </w:r>
    </w:p>
    <w:p w:rsidR="005E1E3C" w:rsidRDefault="005E1E3C" w:rsidP="005E1E3C">
      <w:pPr>
        <w:pStyle w:val="Title"/>
        <w:rPr>
          <w:b w:val="0"/>
          <w:bCs w:val="0"/>
          <w:sz w:val="20"/>
          <w:lang w:val="en-GB"/>
        </w:rPr>
      </w:pPr>
    </w:p>
    <w:p w:rsidR="005E1E3C" w:rsidRDefault="005E1E3C" w:rsidP="005E1E3C">
      <w:pPr>
        <w:pStyle w:val="Title"/>
        <w:rPr>
          <w:b w:val="0"/>
          <w:bCs w:val="0"/>
          <w:sz w:val="22"/>
          <w:szCs w:val="24"/>
          <w:rtl/>
          <w:lang w:val="en-GB"/>
        </w:rPr>
      </w:pPr>
      <w:r>
        <w:rPr>
          <w:szCs w:val="24"/>
        </w:rPr>
        <w:t>Main Findings</w:t>
      </w:r>
    </w:p>
    <w:p w:rsidR="005E1E3C" w:rsidRDefault="005E1E3C" w:rsidP="005E1E3C">
      <w:pPr>
        <w:rPr>
          <w:sz w:val="24"/>
          <w:szCs w:val="24"/>
        </w:rPr>
      </w:pPr>
    </w:p>
    <w:p w:rsidR="005E1E3C" w:rsidRDefault="005E1E3C" w:rsidP="005E1E3C">
      <w:pPr>
        <w:jc w:val="lowKashida"/>
        <w:rPr>
          <w:b/>
          <w:bCs/>
          <w:sz w:val="24"/>
          <w:szCs w:val="24"/>
        </w:rPr>
      </w:pPr>
      <w:r>
        <w:rPr>
          <w:b/>
          <w:bCs/>
          <w:sz w:val="24"/>
          <w:szCs w:val="24"/>
        </w:rPr>
        <w:t xml:space="preserve">1.1 Settlements </w:t>
      </w:r>
    </w:p>
    <w:p w:rsidR="00953976" w:rsidRDefault="00953976" w:rsidP="00953976">
      <w:pPr>
        <w:tabs>
          <w:tab w:val="right" w:pos="3119"/>
        </w:tabs>
        <w:jc w:val="lowKashida"/>
        <w:rPr>
          <w:sz w:val="24"/>
          <w:szCs w:val="24"/>
        </w:rPr>
      </w:pPr>
      <w:r>
        <w:rPr>
          <w:sz w:val="24"/>
          <w:szCs w:val="24"/>
        </w:rPr>
        <w:t xml:space="preserve">According to 2010 data, there were a total of 144 settlements in the West Bank, the majority of them in Jerusalem governorate: 26 settlements of which 16 have been annexed by Israel. </w:t>
      </w:r>
    </w:p>
    <w:p w:rsidR="00953976" w:rsidRDefault="00953976" w:rsidP="00953976">
      <w:pPr>
        <w:ind w:left="142"/>
        <w:jc w:val="center"/>
        <w:rPr>
          <w:rFonts w:ascii="Arial" w:hAnsi="Arial" w:cs="Arial"/>
          <w:b/>
          <w:bCs/>
          <w:sz w:val="22"/>
          <w:szCs w:val="22"/>
        </w:rPr>
      </w:pPr>
    </w:p>
    <w:p w:rsidR="005E1E3C" w:rsidRDefault="005E1E3C" w:rsidP="005E1E3C">
      <w:pPr>
        <w:ind w:left="142"/>
        <w:jc w:val="center"/>
        <w:rPr>
          <w:rFonts w:ascii="Arial" w:hAnsi="Arial" w:cs="Arial"/>
          <w:b/>
          <w:bCs/>
          <w:sz w:val="22"/>
          <w:szCs w:val="22"/>
        </w:rPr>
      </w:pPr>
    </w:p>
    <w:p w:rsidR="005E1E3C" w:rsidRDefault="005E1E3C" w:rsidP="005E1E3C">
      <w:pPr>
        <w:jc w:val="center"/>
        <w:rPr>
          <w:rFonts w:ascii="Arial" w:hAnsi="Arial" w:cs="Arial"/>
          <w:b/>
          <w:bCs/>
          <w:sz w:val="22"/>
          <w:szCs w:val="22"/>
        </w:rPr>
      </w:pPr>
      <w:r>
        <w:rPr>
          <w:rFonts w:ascii="Arial" w:hAnsi="Arial" w:cs="Arial"/>
          <w:b/>
          <w:bCs/>
          <w:sz w:val="22"/>
          <w:szCs w:val="22"/>
        </w:rPr>
        <w:t xml:space="preserve">Number of Settlements in the West Bank, by Governorate, </w:t>
      </w:r>
      <w:r>
        <w:rPr>
          <w:rFonts w:cs="Times New Roman"/>
          <w:b/>
          <w:bCs/>
          <w:sz w:val="24"/>
          <w:szCs w:val="24"/>
        </w:rPr>
        <w:t>2010</w:t>
      </w:r>
    </w:p>
    <w:p w:rsidR="005E1E3C" w:rsidRDefault="00583DF6" w:rsidP="002C3FB7">
      <w:pPr>
        <w:pBdr>
          <w:top w:val="single" w:sz="4" w:space="1" w:color="auto"/>
          <w:left w:val="single" w:sz="4" w:space="4" w:color="auto"/>
          <w:bottom w:val="single" w:sz="4" w:space="1" w:color="auto"/>
          <w:right w:val="single" w:sz="4" w:space="4" w:color="auto"/>
        </w:pBdr>
        <w:jc w:val="center"/>
        <w:rPr>
          <w:rFonts w:ascii="Arial" w:hAnsi="Arial" w:cs="Arial"/>
          <w:b/>
          <w:bCs/>
          <w:sz w:val="22"/>
          <w:szCs w:val="22"/>
        </w:rPr>
      </w:pPr>
      <w:r w:rsidRPr="00583DF6">
        <w:rPr>
          <w:rFonts w:ascii="Arial" w:hAnsi="Arial" w:cs="Arial"/>
          <w:b/>
          <w:bCs/>
          <w:noProof/>
          <w:szCs w:val="22"/>
          <w:lang w:val="ar-SA" w:eastAsia="ar-SA"/>
        </w:rPr>
        <w:pict>
          <v:shape id="_x0000_s1027" type="#_x0000_t202" style="position:absolute;left:0;text-align:left;margin-left:23.85pt;margin-top:34.75pt;width:27pt;height:1in;z-index:251656704" filled="f" stroked="f">
            <v:textbox style="layout-flow:vertical;mso-layout-flow-alt:bottom-to-top;mso-next-textbox:#_x0000_s1027">
              <w:txbxContent>
                <w:p w:rsidR="005E1E3C" w:rsidRDefault="005E1E3C" w:rsidP="005E1E3C">
                  <w:pPr>
                    <w:rPr>
                      <w:rFonts w:ascii="Arial" w:hAnsi="Arial" w:cs="Arial"/>
                      <w:b/>
                      <w:bCs/>
                      <w:sz w:val="18"/>
                      <w:szCs w:val="18"/>
                    </w:rPr>
                  </w:pPr>
                  <w:r>
                    <w:rPr>
                      <w:rFonts w:ascii="Arial" w:hAnsi="Arial" w:cs="Arial"/>
                      <w:b/>
                      <w:bCs/>
                      <w:sz w:val="18"/>
                      <w:szCs w:val="18"/>
                    </w:rPr>
                    <w:t>Governorate</w:t>
                  </w:r>
                </w:p>
              </w:txbxContent>
            </v:textbox>
            <w10:wrap anchorx="page"/>
          </v:shape>
        </w:pict>
      </w:r>
      <w:r w:rsidR="00CB29F6">
        <w:rPr>
          <w:rFonts w:ascii="Arial" w:hAnsi="Arial" w:cs="Arial"/>
          <w:b/>
          <w:bCs/>
          <w:noProof/>
          <w:sz w:val="22"/>
          <w:szCs w:val="22"/>
        </w:rPr>
        <w:drawing>
          <wp:inline distT="0" distB="0" distL="0" distR="0">
            <wp:extent cx="5285799" cy="2509284"/>
            <wp:effectExtent l="0" t="0" r="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E1E3C" w:rsidRPr="00D30BD4" w:rsidRDefault="005E1E3C" w:rsidP="005E1E3C">
      <w:pPr>
        <w:ind w:left="142"/>
        <w:jc w:val="center"/>
        <w:rPr>
          <w:rFonts w:ascii="Arial" w:hAnsi="Arial" w:cs="Arial"/>
          <w:b/>
          <w:bCs/>
          <w:sz w:val="24"/>
          <w:szCs w:val="24"/>
        </w:rPr>
      </w:pPr>
    </w:p>
    <w:p w:rsidR="005E1E3C" w:rsidRDefault="005E1E3C" w:rsidP="005E1E3C">
      <w:pPr>
        <w:jc w:val="lowKashida"/>
        <w:rPr>
          <w:b/>
          <w:bCs/>
          <w:sz w:val="24"/>
          <w:szCs w:val="24"/>
        </w:rPr>
      </w:pPr>
      <w:r>
        <w:rPr>
          <w:b/>
          <w:bCs/>
          <w:sz w:val="24"/>
          <w:szCs w:val="24"/>
        </w:rPr>
        <w:t>1.2 The Settlers Population</w:t>
      </w:r>
    </w:p>
    <w:p w:rsidR="00953976" w:rsidRDefault="00953976" w:rsidP="00953976">
      <w:pPr>
        <w:pStyle w:val="BodyText"/>
      </w:pPr>
      <w:r>
        <w:t xml:space="preserve">Data indicate that the number of settlers in the West Bank in </w:t>
      </w:r>
      <w:r>
        <w:rPr>
          <w:rFonts w:cs="Times New Roman"/>
          <w:szCs w:val="24"/>
        </w:rPr>
        <w:t>2010 was</w:t>
      </w:r>
      <w:r>
        <w:t xml:space="preserve"> 518,974, most of them living in Jerusalem governorate (262,493 settlers), including 196,178 in Jerusalem Governorate (J1).</w:t>
      </w:r>
    </w:p>
    <w:p w:rsidR="00DC48A1" w:rsidRPr="00A078D4" w:rsidRDefault="00DC48A1" w:rsidP="005E1E3C">
      <w:pPr>
        <w:jc w:val="center"/>
        <w:rPr>
          <w:rFonts w:ascii="Arial" w:hAnsi="Arial" w:cs="Arial"/>
          <w:b/>
          <w:bCs/>
          <w:sz w:val="24"/>
          <w:szCs w:val="24"/>
        </w:rPr>
      </w:pPr>
    </w:p>
    <w:p w:rsidR="005E1E3C" w:rsidRDefault="005E1E3C" w:rsidP="002F6AF9">
      <w:pPr>
        <w:jc w:val="center"/>
        <w:rPr>
          <w:rFonts w:ascii="Arial" w:hAnsi="Arial" w:cs="Arial"/>
          <w:b/>
          <w:bCs/>
          <w:sz w:val="22"/>
          <w:szCs w:val="22"/>
          <w:rtl/>
          <w:lang w:val="en-GB"/>
        </w:rPr>
      </w:pPr>
      <w:r>
        <w:rPr>
          <w:rFonts w:ascii="Arial" w:hAnsi="Arial" w:cs="Arial"/>
          <w:b/>
          <w:bCs/>
          <w:sz w:val="22"/>
          <w:szCs w:val="22"/>
        </w:rPr>
        <w:t xml:space="preserve">Number of Settlers in the Settlements in the West Bank, by Governorate, </w:t>
      </w:r>
      <w:r w:rsidR="002F6AF9">
        <w:rPr>
          <w:rFonts w:cs="Times New Roman"/>
          <w:b/>
          <w:bCs/>
          <w:sz w:val="24"/>
          <w:szCs w:val="24"/>
        </w:rPr>
        <w:t>2010</w:t>
      </w:r>
    </w:p>
    <w:p w:rsidR="005E1E3C" w:rsidRDefault="00583DF6" w:rsidP="002C3FB7">
      <w:pPr>
        <w:pStyle w:val="BodyText"/>
        <w:pBdr>
          <w:top w:val="single" w:sz="4" w:space="1" w:color="auto"/>
          <w:left w:val="single" w:sz="4" w:space="4" w:color="auto"/>
          <w:bottom w:val="single" w:sz="4" w:space="1" w:color="auto"/>
          <w:right w:val="single" w:sz="4" w:space="4" w:color="auto"/>
        </w:pBdr>
      </w:pPr>
      <w:r w:rsidRPr="00583DF6">
        <w:rPr>
          <w:noProof/>
          <w:sz w:val="22"/>
          <w:szCs w:val="22"/>
          <w:lang w:val="ar-SA"/>
        </w:rPr>
        <w:pict>
          <v:shape id="_x0000_s1028" type="#_x0000_t202" style="position:absolute;left:0;text-align:left;margin-left:194.15pt;margin-top:191.85pt;width:117pt;height:25pt;z-index:251657728;mso-wrap-edited:f" wrapcoords="-164 0 -164 21600 21764 21600 21764 0 -164 0" filled="f" stroked="f">
            <v:textbox style="mso-next-textbox:#_x0000_s1028">
              <w:txbxContent>
                <w:p w:rsidR="005E1E3C" w:rsidRDefault="005E1E3C" w:rsidP="005E1E3C">
                  <w:pPr>
                    <w:jc w:val="center"/>
                    <w:rPr>
                      <w:rFonts w:ascii="Arial" w:hAnsi="Arial" w:cs="Arial"/>
                      <w:b/>
                      <w:bCs/>
                      <w:sz w:val="18"/>
                      <w:szCs w:val="18"/>
                    </w:rPr>
                  </w:pPr>
                  <w:r>
                    <w:rPr>
                      <w:rFonts w:ascii="Arial" w:hAnsi="Arial" w:cs="Arial"/>
                      <w:b/>
                      <w:bCs/>
                      <w:sz w:val="18"/>
                      <w:szCs w:val="18"/>
                    </w:rPr>
                    <w:t>Number (Thousands)</w:t>
                  </w:r>
                </w:p>
              </w:txbxContent>
            </v:textbox>
          </v:shape>
        </w:pict>
      </w:r>
      <w:r w:rsidRPr="00583DF6">
        <w:rPr>
          <w:rFonts w:ascii="Arial" w:hAnsi="Arial" w:cs="Arial"/>
          <w:b/>
          <w:bCs/>
          <w:noProof/>
          <w:szCs w:val="22"/>
          <w:lang w:val="ar-SA" w:eastAsia="ar-SA"/>
        </w:rPr>
        <w:pict>
          <v:shape id="_x0000_s1029" type="#_x0000_t202" style="position:absolute;left:0;text-align:left;margin-left:14.15pt;margin-top:66.35pt;width:27pt;height:1in;z-index:251658752" filled="f" stroked="f">
            <v:textbox style="layout-flow:vertical;mso-layout-flow-alt:bottom-to-top;mso-next-textbox:#_x0000_s1029">
              <w:txbxContent>
                <w:p w:rsidR="005E1E3C" w:rsidRDefault="005E1E3C" w:rsidP="005E1E3C">
                  <w:pPr>
                    <w:rPr>
                      <w:rFonts w:ascii="Arial" w:hAnsi="Arial" w:cs="Arial"/>
                      <w:b/>
                      <w:bCs/>
                      <w:sz w:val="18"/>
                      <w:szCs w:val="18"/>
                    </w:rPr>
                  </w:pPr>
                  <w:r>
                    <w:rPr>
                      <w:rFonts w:ascii="Arial" w:hAnsi="Arial" w:cs="Arial"/>
                      <w:b/>
                      <w:bCs/>
                      <w:sz w:val="18"/>
                      <w:szCs w:val="18"/>
                    </w:rPr>
                    <w:t>Governorate</w:t>
                  </w:r>
                </w:p>
              </w:txbxContent>
            </v:textbox>
            <w10:wrap anchorx="page"/>
          </v:shape>
        </w:pict>
      </w:r>
      <w:r w:rsidR="00CB29F6">
        <w:rPr>
          <w:rFonts w:cs="Simplified Arabic"/>
          <w:b/>
          <w:bCs/>
          <w:noProof/>
        </w:rPr>
        <w:drawing>
          <wp:inline distT="0" distB="0" distL="0" distR="0">
            <wp:extent cx="5773480" cy="2658139"/>
            <wp:effectExtent l="0" t="0" r="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32B3F" w:rsidRDefault="00932B3F" w:rsidP="005E1E3C">
      <w:pPr>
        <w:jc w:val="lowKashida"/>
        <w:rPr>
          <w:rFonts w:cs="Times New Roman"/>
          <w:b/>
          <w:bCs/>
          <w:sz w:val="24"/>
          <w:szCs w:val="24"/>
        </w:rPr>
      </w:pPr>
    </w:p>
    <w:p w:rsidR="002F6AF9" w:rsidRDefault="002F6AF9" w:rsidP="005E1E3C">
      <w:pPr>
        <w:jc w:val="lowKashida"/>
        <w:rPr>
          <w:rFonts w:cs="Times New Roman"/>
          <w:b/>
          <w:bCs/>
          <w:sz w:val="24"/>
          <w:szCs w:val="24"/>
        </w:rPr>
      </w:pPr>
    </w:p>
    <w:p w:rsidR="005B0C6B" w:rsidRDefault="005B0C6B" w:rsidP="005E1E3C">
      <w:pPr>
        <w:jc w:val="lowKashida"/>
        <w:rPr>
          <w:rFonts w:cs="Times New Roman"/>
          <w:b/>
          <w:bCs/>
          <w:sz w:val="24"/>
          <w:szCs w:val="24"/>
        </w:rPr>
      </w:pPr>
    </w:p>
    <w:p w:rsidR="00953976" w:rsidRPr="004F482F" w:rsidRDefault="005E1E3C" w:rsidP="004F482F">
      <w:pPr>
        <w:jc w:val="lowKashida"/>
        <w:rPr>
          <w:b/>
          <w:bCs/>
          <w:sz w:val="24"/>
          <w:szCs w:val="24"/>
        </w:rPr>
      </w:pPr>
      <w:r w:rsidRPr="004F482F">
        <w:rPr>
          <w:b/>
          <w:bCs/>
          <w:sz w:val="24"/>
          <w:szCs w:val="24"/>
        </w:rPr>
        <w:lastRenderedPageBreak/>
        <w:t xml:space="preserve">1.3 </w:t>
      </w:r>
      <w:r w:rsidR="004F482F" w:rsidRPr="004F482F">
        <w:rPr>
          <w:b/>
          <w:bCs/>
          <w:sz w:val="24"/>
          <w:szCs w:val="24"/>
        </w:rPr>
        <w:t>Settling Stages</w:t>
      </w:r>
    </w:p>
    <w:p w:rsidR="00953976" w:rsidRDefault="00953976" w:rsidP="00953976">
      <w:pPr>
        <w:jc w:val="lowKashida"/>
        <w:rPr>
          <w:rFonts w:cs="Times New Roman"/>
          <w:sz w:val="24"/>
          <w:szCs w:val="24"/>
        </w:rPr>
      </w:pPr>
      <w:r>
        <w:rPr>
          <w:rFonts w:cs="Times New Roman"/>
          <w:sz w:val="24"/>
          <w:szCs w:val="24"/>
        </w:rPr>
        <w:t xml:space="preserve">Israel has resorted to the expansion of existing settlements during this period in order to compensate for the lack of new settlements. Expansion is achieved through growth in population and establishing new ‘neighborhoods’ within existing settlements. In addition, the building of the Annexation and Expansion Wall in June 2002, designed as a result of internal negotiations between the Israeli government and settler leaders, has placed 88% of settlers inside the borders of the Wall. </w:t>
      </w:r>
    </w:p>
    <w:p w:rsidR="005E1E3C" w:rsidRDefault="005E1E3C" w:rsidP="00953976">
      <w:pPr>
        <w:jc w:val="lowKashida"/>
        <w:rPr>
          <w:rFonts w:cs="Times New Roman"/>
          <w:sz w:val="24"/>
          <w:szCs w:val="24"/>
        </w:rPr>
      </w:pPr>
    </w:p>
    <w:p w:rsidR="005E1E3C" w:rsidRDefault="005E1E3C" w:rsidP="00953976">
      <w:pPr>
        <w:jc w:val="lowKashida"/>
        <w:rPr>
          <w:rFonts w:cs="Times New Roman"/>
          <w:sz w:val="24"/>
          <w:szCs w:val="24"/>
        </w:rPr>
      </w:pPr>
      <w:r>
        <w:rPr>
          <w:rFonts w:cs="Times New Roman"/>
          <w:sz w:val="24"/>
          <w:szCs w:val="24"/>
        </w:rPr>
        <w:t xml:space="preserve">Overall, the number of settlements increased between 1967 and 2010 from </w:t>
      </w:r>
      <w:r w:rsidR="00953976">
        <w:rPr>
          <w:rFonts w:cs="Times New Roman"/>
          <w:sz w:val="24"/>
          <w:szCs w:val="24"/>
        </w:rPr>
        <w:t>one</w:t>
      </w:r>
      <w:r>
        <w:rPr>
          <w:rFonts w:cs="Times New Roman"/>
          <w:sz w:val="24"/>
          <w:szCs w:val="24"/>
        </w:rPr>
        <w:t xml:space="preserve"> settlement in 1967 to 144 in 2010.  </w:t>
      </w:r>
    </w:p>
    <w:p w:rsidR="005B0C6B" w:rsidRDefault="005B0C6B" w:rsidP="005B0C6B">
      <w:pPr>
        <w:jc w:val="center"/>
        <w:rPr>
          <w:rFonts w:ascii="Arial" w:hAnsi="Arial" w:cs="Arial"/>
          <w:b/>
          <w:bCs/>
          <w:sz w:val="22"/>
          <w:szCs w:val="22"/>
        </w:rPr>
      </w:pPr>
    </w:p>
    <w:p w:rsidR="005B0C6B" w:rsidRDefault="005B0C6B" w:rsidP="005B0C6B">
      <w:pPr>
        <w:jc w:val="center"/>
        <w:rPr>
          <w:rFonts w:ascii="Arial" w:hAnsi="Arial" w:cs="Arial"/>
          <w:b/>
          <w:bCs/>
          <w:sz w:val="24"/>
          <w:szCs w:val="24"/>
        </w:rPr>
      </w:pPr>
      <w:r>
        <w:rPr>
          <w:rFonts w:ascii="Arial" w:hAnsi="Arial" w:cs="Arial"/>
          <w:b/>
          <w:bCs/>
          <w:sz w:val="22"/>
          <w:szCs w:val="22"/>
        </w:rPr>
        <w:t>Number of Settlers in the Settlements in the West Bank by Year, 1988-</w:t>
      </w:r>
      <w:r>
        <w:rPr>
          <w:rFonts w:cs="Times New Roman"/>
          <w:b/>
          <w:bCs/>
          <w:sz w:val="24"/>
          <w:szCs w:val="24"/>
        </w:rPr>
        <w:t>2010</w:t>
      </w:r>
    </w:p>
    <w:p w:rsidR="005B0C6B" w:rsidRDefault="005B0C6B" w:rsidP="005E1E3C">
      <w:pPr>
        <w:jc w:val="lowKashida"/>
        <w:rPr>
          <w:rFonts w:cs="Times New Roman"/>
          <w:sz w:val="24"/>
          <w:szCs w:val="24"/>
        </w:rPr>
      </w:pPr>
    </w:p>
    <w:p w:rsidR="005B0C6B" w:rsidRDefault="00583DF6" w:rsidP="005B0C6B">
      <w:pPr>
        <w:pBdr>
          <w:top w:val="single" w:sz="4" w:space="1" w:color="auto"/>
          <w:left w:val="single" w:sz="4" w:space="4" w:color="auto"/>
          <w:bottom w:val="single" w:sz="4" w:space="1" w:color="auto"/>
          <w:right w:val="single" w:sz="4" w:space="4" w:color="auto"/>
        </w:pBdr>
        <w:jc w:val="lowKashida"/>
        <w:rPr>
          <w:rFonts w:cs="Times New Roman"/>
          <w:sz w:val="24"/>
          <w:szCs w:val="24"/>
        </w:rPr>
      </w:pPr>
      <w:r w:rsidRPr="00583DF6">
        <w:rPr>
          <w:rFonts w:cs="Simplified Arabic"/>
          <w:b/>
          <w:bCs/>
          <w:noProof/>
          <w:sz w:val="24"/>
          <w:szCs w:val="24"/>
          <w:lang w:val="ar-SA"/>
        </w:rPr>
        <w:pict>
          <v:shape id="_x0000_s1030" type="#_x0000_t202" style="position:absolute;left:0;text-align:left;margin-left:6.4pt;margin-top:35.55pt;width:23.15pt;height:103.95pt;z-index:251659776" filled="f" stroked="f">
            <v:textbox style="layout-flow:vertical;mso-layout-flow-alt:bottom-to-top;mso-next-textbox:#_x0000_s1030">
              <w:txbxContent>
                <w:p w:rsidR="005E1E3C" w:rsidRDefault="005E1E3C" w:rsidP="005E1E3C">
                  <w:pPr>
                    <w:jc w:val="center"/>
                    <w:rPr>
                      <w:rFonts w:ascii="Arial" w:hAnsi="Arial" w:cs="Arial"/>
                      <w:b/>
                      <w:bCs/>
                      <w:rtl/>
                    </w:rPr>
                  </w:pPr>
                  <w:r>
                    <w:rPr>
                      <w:rFonts w:ascii="Arial" w:hAnsi="Arial" w:cs="Arial"/>
                      <w:b/>
                      <w:bCs/>
                      <w:sz w:val="18"/>
                      <w:szCs w:val="18"/>
                    </w:rPr>
                    <w:t>Number (Thousand)</w:t>
                  </w:r>
                </w:p>
              </w:txbxContent>
            </v:textbox>
            <w10:wrap anchorx="page"/>
          </v:shape>
        </w:pict>
      </w:r>
      <w:r w:rsidR="005B0C6B">
        <w:rPr>
          <w:rFonts w:cs="Simplified Arabic"/>
          <w:b/>
          <w:bCs/>
          <w:noProof/>
          <w:sz w:val="24"/>
          <w:szCs w:val="24"/>
        </w:rPr>
        <w:drawing>
          <wp:inline distT="0" distB="0" distL="0" distR="0">
            <wp:extent cx="5584309" cy="2668772"/>
            <wp:effectExtent l="0" t="0" r="0" b="0"/>
            <wp:docPr id="6"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B0C6B" w:rsidRDefault="005B0C6B" w:rsidP="005E1E3C">
      <w:pPr>
        <w:jc w:val="lowKashida"/>
        <w:rPr>
          <w:rFonts w:cs="Times New Roman"/>
          <w:sz w:val="24"/>
          <w:szCs w:val="24"/>
        </w:rPr>
      </w:pPr>
    </w:p>
    <w:p w:rsidR="005B0C6B" w:rsidRDefault="005B0C6B" w:rsidP="005E1E3C">
      <w:pPr>
        <w:jc w:val="lowKashida"/>
        <w:rPr>
          <w:b/>
          <w:bCs/>
          <w:sz w:val="24"/>
          <w:szCs w:val="24"/>
        </w:rPr>
      </w:pPr>
    </w:p>
    <w:p w:rsidR="005E1E3C" w:rsidRDefault="005E1E3C" w:rsidP="005E1E3C">
      <w:pPr>
        <w:jc w:val="lowKashida"/>
        <w:rPr>
          <w:b/>
          <w:bCs/>
          <w:sz w:val="24"/>
          <w:szCs w:val="24"/>
        </w:rPr>
      </w:pPr>
      <w:r>
        <w:rPr>
          <w:b/>
          <w:bCs/>
          <w:sz w:val="24"/>
          <w:szCs w:val="24"/>
        </w:rPr>
        <w:t>1.4 The Nature of Settling in the West Bank</w:t>
      </w:r>
    </w:p>
    <w:p w:rsidR="00953976" w:rsidRDefault="00953976" w:rsidP="00953976">
      <w:pPr>
        <w:jc w:val="lowKashida"/>
        <w:rPr>
          <w:rFonts w:cs="Times New Roman"/>
          <w:sz w:val="24"/>
          <w:szCs w:val="24"/>
        </w:rPr>
      </w:pPr>
      <w:r>
        <w:rPr>
          <w:rFonts w:cs="Times New Roman"/>
          <w:sz w:val="24"/>
          <w:szCs w:val="24"/>
        </w:rPr>
        <w:t xml:space="preserve">In 2010, there were 49 urban settlements in the West Bank, with 22 of them in Jerusalem governorate. Settlers of this type of settlement represent 88.5% of the total settlers in the West Bank. These settlers are concentrated in Jerusalem governorate (98.7% of the total settlers in the governorate), followed by </w:t>
      </w:r>
      <w:proofErr w:type="spellStart"/>
      <w:r>
        <w:rPr>
          <w:rFonts w:cs="Times New Roman"/>
          <w:sz w:val="24"/>
          <w:szCs w:val="24"/>
        </w:rPr>
        <w:t>Qalqiliya</w:t>
      </w:r>
      <w:proofErr w:type="spellEnd"/>
      <w:r>
        <w:rPr>
          <w:rFonts w:cs="Times New Roman"/>
          <w:sz w:val="24"/>
          <w:szCs w:val="24"/>
        </w:rPr>
        <w:t xml:space="preserve"> governorate (94.0% of the total settlers in the governorate), then Bethlehem governorate (90.3% of the total settlers in the governorate), then Ramallah &amp; Al-</w:t>
      </w:r>
      <w:proofErr w:type="spellStart"/>
      <w:r>
        <w:rPr>
          <w:rFonts w:cs="Times New Roman"/>
          <w:sz w:val="24"/>
          <w:szCs w:val="24"/>
        </w:rPr>
        <w:t>Bireh</w:t>
      </w:r>
      <w:proofErr w:type="spellEnd"/>
      <w:r>
        <w:rPr>
          <w:rFonts w:cs="Times New Roman"/>
          <w:sz w:val="24"/>
          <w:szCs w:val="24"/>
        </w:rPr>
        <w:t xml:space="preserve"> governorate (86.5% of the total settlers in the governorate), then </w:t>
      </w:r>
      <w:proofErr w:type="spellStart"/>
      <w:r>
        <w:rPr>
          <w:rFonts w:cs="Times New Roman"/>
          <w:sz w:val="24"/>
          <w:szCs w:val="24"/>
        </w:rPr>
        <w:t>Salfit</w:t>
      </w:r>
      <w:proofErr w:type="spellEnd"/>
      <w:r>
        <w:rPr>
          <w:rFonts w:cs="Times New Roman"/>
          <w:sz w:val="24"/>
          <w:szCs w:val="24"/>
        </w:rPr>
        <w:t xml:space="preserve"> governorate (72.7% of the total settlers in the governorate). There are no urban settlements in </w:t>
      </w:r>
      <w:proofErr w:type="spellStart"/>
      <w:r>
        <w:rPr>
          <w:rFonts w:cs="Times New Roman"/>
          <w:sz w:val="24"/>
          <w:szCs w:val="24"/>
        </w:rPr>
        <w:t>Jenin</w:t>
      </w:r>
      <w:proofErr w:type="spellEnd"/>
      <w:r>
        <w:rPr>
          <w:rFonts w:cs="Times New Roman"/>
          <w:sz w:val="24"/>
          <w:szCs w:val="24"/>
        </w:rPr>
        <w:t xml:space="preserve">, Tubas, </w:t>
      </w:r>
      <w:proofErr w:type="spellStart"/>
      <w:r>
        <w:rPr>
          <w:rFonts w:cs="Times New Roman"/>
          <w:sz w:val="24"/>
          <w:szCs w:val="24"/>
        </w:rPr>
        <w:t>Tulkarm</w:t>
      </w:r>
      <w:proofErr w:type="spellEnd"/>
      <w:r>
        <w:rPr>
          <w:rFonts w:cs="Times New Roman"/>
          <w:sz w:val="24"/>
          <w:szCs w:val="24"/>
        </w:rPr>
        <w:t>, and Jericho and Al-Aghwar governorates.</w:t>
      </w:r>
    </w:p>
    <w:p w:rsidR="00953976" w:rsidRDefault="00953976" w:rsidP="00953976">
      <w:pPr>
        <w:jc w:val="lowKashida"/>
        <w:rPr>
          <w:rFonts w:cs="Times New Roman"/>
          <w:sz w:val="24"/>
          <w:szCs w:val="24"/>
        </w:rPr>
      </w:pPr>
    </w:p>
    <w:p w:rsidR="00953976" w:rsidRDefault="00953976" w:rsidP="00953976">
      <w:pPr>
        <w:jc w:val="lowKashida"/>
        <w:rPr>
          <w:rFonts w:cs="Times New Roman"/>
          <w:sz w:val="24"/>
          <w:szCs w:val="24"/>
        </w:rPr>
      </w:pPr>
      <w:r>
        <w:rPr>
          <w:rFonts w:cs="Times New Roman"/>
          <w:sz w:val="24"/>
          <w:szCs w:val="24"/>
        </w:rPr>
        <w:t>In 2010, the data showed that there were 95 rural settlements in the West Bank, with 51 of them classified as communal</w:t>
      </w:r>
      <w:r>
        <w:rPr>
          <w:rFonts w:cs="Times New Roman"/>
          <w:sz w:val="24"/>
          <w:szCs w:val="24"/>
          <w:rtl/>
          <w:lang w:val="en-GB"/>
        </w:rPr>
        <w:t xml:space="preserve"> </w:t>
      </w:r>
      <w:r>
        <w:rPr>
          <w:rFonts w:cs="Times New Roman"/>
          <w:sz w:val="24"/>
          <w:szCs w:val="24"/>
        </w:rPr>
        <w:t>settlements with a population of 44,243 settlers, followed by</w:t>
      </w:r>
      <w:r>
        <w:rPr>
          <w:rFonts w:cs="Times New Roman"/>
          <w:sz w:val="16"/>
          <w:szCs w:val="16"/>
        </w:rPr>
        <w:t xml:space="preserve"> </w:t>
      </w:r>
      <w:proofErr w:type="spellStart"/>
      <w:r>
        <w:rPr>
          <w:rFonts w:cs="Times New Roman"/>
          <w:sz w:val="24"/>
          <w:szCs w:val="24"/>
        </w:rPr>
        <w:t>moshav</w:t>
      </w:r>
      <w:proofErr w:type="spellEnd"/>
      <w:r>
        <w:rPr>
          <w:rFonts w:cs="Times New Roman"/>
          <w:sz w:val="24"/>
          <w:szCs w:val="24"/>
        </w:rPr>
        <w:t xml:space="preserve"> settlements</w:t>
      </w:r>
      <w:r>
        <w:rPr>
          <w:rFonts w:cs="Times New Roman"/>
          <w:sz w:val="16"/>
          <w:szCs w:val="16"/>
        </w:rPr>
        <w:t xml:space="preserve"> </w:t>
      </w:r>
      <w:r>
        <w:rPr>
          <w:rFonts w:cs="Times New Roman"/>
          <w:sz w:val="24"/>
          <w:szCs w:val="24"/>
        </w:rPr>
        <w:t>(17 settlements with a population of 3,936 settlers).</w:t>
      </w:r>
    </w:p>
    <w:p w:rsidR="00953976" w:rsidRDefault="00953976" w:rsidP="00953976">
      <w:pPr>
        <w:ind w:left="45"/>
        <w:jc w:val="lowKashida"/>
        <w:rPr>
          <w:b/>
          <w:bCs/>
          <w:sz w:val="24"/>
          <w:szCs w:val="24"/>
        </w:rPr>
      </w:pPr>
    </w:p>
    <w:p w:rsidR="005E1E3C" w:rsidRDefault="005E1E3C" w:rsidP="005E1E3C">
      <w:pPr>
        <w:ind w:left="45"/>
        <w:jc w:val="lowKashida"/>
        <w:rPr>
          <w:b/>
          <w:bCs/>
          <w:sz w:val="24"/>
          <w:szCs w:val="24"/>
        </w:rPr>
      </w:pPr>
    </w:p>
    <w:p w:rsidR="000A02CF" w:rsidRDefault="000A02CF" w:rsidP="005E1E3C">
      <w:pPr>
        <w:ind w:left="45"/>
        <w:jc w:val="lowKashida"/>
        <w:rPr>
          <w:b/>
          <w:bCs/>
          <w:sz w:val="24"/>
          <w:szCs w:val="24"/>
        </w:rPr>
      </w:pPr>
    </w:p>
    <w:p w:rsidR="005B0C6B" w:rsidRDefault="005B0C6B" w:rsidP="005E1E3C">
      <w:pPr>
        <w:ind w:left="45"/>
        <w:jc w:val="lowKashida"/>
        <w:rPr>
          <w:b/>
          <w:bCs/>
          <w:sz w:val="24"/>
          <w:szCs w:val="24"/>
        </w:rPr>
      </w:pPr>
    </w:p>
    <w:p w:rsidR="005B0C6B" w:rsidRDefault="005B0C6B" w:rsidP="005E1E3C">
      <w:pPr>
        <w:ind w:left="45"/>
        <w:jc w:val="lowKashida"/>
        <w:rPr>
          <w:b/>
          <w:bCs/>
          <w:sz w:val="24"/>
          <w:szCs w:val="24"/>
        </w:rPr>
      </w:pPr>
    </w:p>
    <w:p w:rsidR="005B0C6B" w:rsidRDefault="005B0C6B" w:rsidP="005E1E3C">
      <w:pPr>
        <w:ind w:left="45"/>
        <w:jc w:val="lowKashida"/>
        <w:rPr>
          <w:b/>
          <w:bCs/>
          <w:sz w:val="24"/>
          <w:szCs w:val="24"/>
        </w:rPr>
      </w:pPr>
    </w:p>
    <w:p w:rsidR="005B0C6B" w:rsidRDefault="005B0C6B" w:rsidP="005E1E3C">
      <w:pPr>
        <w:ind w:left="45"/>
        <w:jc w:val="lowKashida"/>
        <w:rPr>
          <w:b/>
          <w:bCs/>
          <w:sz w:val="24"/>
          <w:szCs w:val="24"/>
        </w:rPr>
      </w:pPr>
    </w:p>
    <w:p w:rsidR="005E1E3C" w:rsidRDefault="005E1E3C" w:rsidP="005E1E3C">
      <w:pPr>
        <w:ind w:left="45"/>
        <w:jc w:val="lowKashida"/>
        <w:rPr>
          <w:b/>
          <w:bCs/>
          <w:sz w:val="24"/>
          <w:szCs w:val="24"/>
        </w:rPr>
      </w:pPr>
      <w:r>
        <w:rPr>
          <w:b/>
          <w:bCs/>
          <w:sz w:val="24"/>
          <w:szCs w:val="24"/>
        </w:rPr>
        <w:lastRenderedPageBreak/>
        <w:t xml:space="preserve">1.5 Geographical Dispersion </w:t>
      </w:r>
    </w:p>
    <w:p w:rsidR="005E1E3C" w:rsidRDefault="005E1E3C" w:rsidP="005E1E3C">
      <w:pPr>
        <w:ind w:left="45"/>
        <w:jc w:val="lowKashida"/>
        <w:rPr>
          <w:b/>
          <w:bCs/>
          <w:sz w:val="16"/>
          <w:szCs w:val="16"/>
        </w:rPr>
      </w:pPr>
    </w:p>
    <w:p w:rsidR="005E1E3C" w:rsidRDefault="005E1E3C" w:rsidP="005E1E3C">
      <w:pPr>
        <w:ind w:left="45"/>
        <w:jc w:val="lowKashida"/>
        <w:rPr>
          <w:b/>
          <w:bCs/>
          <w:sz w:val="24"/>
          <w:szCs w:val="24"/>
        </w:rPr>
      </w:pPr>
      <w:r>
        <w:rPr>
          <w:b/>
          <w:bCs/>
          <w:sz w:val="24"/>
          <w:szCs w:val="24"/>
        </w:rPr>
        <w:t xml:space="preserve">Eastern Strip: </w:t>
      </w:r>
    </w:p>
    <w:p w:rsidR="00953976" w:rsidRDefault="00953976" w:rsidP="00953976">
      <w:pPr>
        <w:pStyle w:val="BodyTextIndent2"/>
      </w:pPr>
      <w:r>
        <w:t xml:space="preserve">At the end of </w:t>
      </w:r>
      <w:r>
        <w:rPr>
          <w:rFonts w:cs="Times New Roman"/>
        </w:rPr>
        <w:t>2010</w:t>
      </w:r>
      <w:r>
        <w:t xml:space="preserve">, this area included 28 settlements with a population of 6,261 settlers representing 1.2% of all settlers in the </w:t>
      </w:r>
      <w:r>
        <w:rPr>
          <w:rFonts w:cs="Times New Roman"/>
        </w:rPr>
        <w:t>West Bank</w:t>
      </w:r>
      <w:r>
        <w:t>.</w:t>
      </w:r>
    </w:p>
    <w:p w:rsidR="00953976" w:rsidRDefault="00953976" w:rsidP="00953976">
      <w:pPr>
        <w:ind w:left="45"/>
        <w:jc w:val="lowKashida"/>
        <w:rPr>
          <w:sz w:val="24"/>
          <w:szCs w:val="24"/>
        </w:rPr>
      </w:pPr>
    </w:p>
    <w:p w:rsidR="005E1E3C" w:rsidRDefault="005E1E3C" w:rsidP="005E1E3C">
      <w:pPr>
        <w:ind w:left="45"/>
        <w:jc w:val="lowKashida"/>
        <w:rPr>
          <w:sz w:val="24"/>
          <w:szCs w:val="24"/>
        </w:rPr>
      </w:pPr>
    </w:p>
    <w:p w:rsidR="005E1E3C" w:rsidRDefault="005E1E3C" w:rsidP="005E1E3C">
      <w:pPr>
        <w:ind w:left="45"/>
        <w:jc w:val="lowKashida"/>
        <w:rPr>
          <w:b/>
          <w:bCs/>
          <w:sz w:val="24"/>
          <w:szCs w:val="24"/>
        </w:rPr>
      </w:pPr>
      <w:r>
        <w:rPr>
          <w:b/>
          <w:bCs/>
          <w:sz w:val="24"/>
          <w:szCs w:val="24"/>
        </w:rPr>
        <w:t xml:space="preserve">Mountain Strip: </w:t>
      </w:r>
    </w:p>
    <w:p w:rsidR="00953976" w:rsidRPr="00953976" w:rsidRDefault="00953976" w:rsidP="005E1E3C">
      <w:pPr>
        <w:ind w:left="45"/>
        <w:jc w:val="lowKashida"/>
        <w:rPr>
          <w:b/>
          <w:bCs/>
          <w:sz w:val="24"/>
          <w:szCs w:val="24"/>
        </w:rPr>
      </w:pPr>
      <w:r w:rsidRPr="00953976">
        <w:rPr>
          <w:sz w:val="24"/>
          <w:szCs w:val="24"/>
        </w:rPr>
        <w:t xml:space="preserve">At the end of </w:t>
      </w:r>
      <w:r w:rsidRPr="00953976">
        <w:rPr>
          <w:rFonts w:cs="Times New Roman"/>
          <w:sz w:val="24"/>
          <w:szCs w:val="24"/>
        </w:rPr>
        <w:t>2010</w:t>
      </w:r>
      <w:r w:rsidRPr="00953976">
        <w:rPr>
          <w:sz w:val="24"/>
          <w:szCs w:val="24"/>
        </w:rPr>
        <w:t xml:space="preserve">, this area included 31 settlements with a population of 45,265 settlers representing 8.7% of all settlers in the </w:t>
      </w:r>
      <w:r w:rsidRPr="00953976">
        <w:rPr>
          <w:rFonts w:cs="Times New Roman"/>
          <w:sz w:val="24"/>
          <w:szCs w:val="24"/>
        </w:rPr>
        <w:t>West Bank</w:t>
      </w:r>
      <w:r w:rsidRPr="00953976">
        <w:rPr>
          <w:sz w:val="24"/>
          <w:szCs w:val="24"/>
        </w:rPr>
        <w:t>.</w:t>
      </w:r>
    </w:p>
    <w:p w:rsidR="00953976" w:rsidRPr="00953976" w:rsidRDefault="00953976" w:rsidP="005E1E3C">
      <w:pPr>
        <w:ind w:left="45"/>
        <w:jc w:val="lowKashida"/>
        <w:rPr>
          <w:b/>
          <w:bCs/>
          <w:sz w:val="24"/>
          <w:szCs w:val="24"/>
        </w:rPr>
      </w:pPr>
    </w:p>
    <w:p w:rsidR="005E1E3C" w:rsidRDefault="005E1E3C" w:rsidP="005E1E3C">
      <w:pPr>
        <w:ind w:left="45"/>
        <w:jc w:val="lowKashida"/>
        <w:rPr>
          <w:b/>
          <w:bCs/>
          <w:sz w:val="24"/>
          <w:szCs w:val="24"/>
        </w:rPr>
      </w:pPr>
      <w:r>
        <w:rPr>
          <w:b/>
          <w:bCs/>
          <w:sz w:val="24"/>
          <w:szCs w:val="24"/>
        </w:rPr>
        <w:t xml:space="preserve">Western Hills Strip: </w:t>
      </w:r>
    </w:p>
    <w:p w:rsidR="00953976" w:rsidRDefault="00953976" w:rsidP="00953976">
      <w:pPr>
        <w:pStyle w:val="BodyTextIndent2"/>
      </w:pPr>
      <w:r>
        <w:t xml:space="preserve">At the end of </w:t>
      </w:r>
      <w:r>
        <w:rPr>
          <w:rFonts w:cs="Times New Roman"/>
        </w:rPr>
        <w:t>2010</w:t>
      </w:r>
      <w:r>
        <w:t xml:space="preserve">, this area included 48 settlements with a population of 148,128 settlers representing 28.6% of all settlers in the </w:t>
      </w:r>
      <w:r>
        <w:rPr>
          <w:rFonts w:cs="Times New Roman"/>
        </w:rPr>
        <w:t>West Bank</w:t>
      </w:r>
      <w:r>
        <w:t xml:space="preserve">. </w:t>
      </w:r>
    </w:p>
    <w:p w:rsidR="00953976" w:rsidRDefault="00953976" w:rsidP="00953976">
      <w:pPr>
        <w:ind w:left="45"/>
        <w:jc w:val="lowKashida"/>
        <w:rPr>
          <w:b/>
          <w:bCs/>
          <w:sz w:val="24"/>
          <w:szCs w:val="24"/>
        </w:rPr>
      </w:pPr>
    </w:p>
    <w:p w:rsidR="005E1E3C" w:rsidRDefault="005E1E3C" w:rsidP="005E1E3C">
      <w:pPr>
        <w:ind w:left="45"/>
        <w:jc w:val="lowKashida"/>
        <w:rPr>
          <w:b/>
          <w:bCs/>
          <w:sz w:val="24"/>
          <w:szCs w:val="24"/>
        </w:rPr>
      </w:pPr>
      <w:r>
        <w:rPr>
          <w:b/>
          <w:bCs/>
          <w:sz w:val="24"/>
          <w:szCs w:val="24"/>
        </w:rPr>
        <w:t>Greater Jerusalem Strip:</w:t>
      </w:r>
    </w:p>
    <w:p w:rsidR="00953976" w:rsidRDefault="00953976" w:rsidP="00953976">
      <w:pPr>
        <w:pStyle w:val="BodyTextIndent2"/>
      </w:pPr>
      <w:r>
        <w:t xml:space="preserve">At the end of </w:t>
      </w:r>
      <w:r>
        <w:rPr>
          <w:rFonts w:cs="Times New Roman"/>
        </w:rPr>
        <w:t>2010</w:t>
      </w:r>
      <w:r>
        <w:t xml:space="preserve">, this area included 37 settlements with a population of 319,320 settlers representing 61.5% of all settlers in the </w:t>
      </w:r>
      <w:r>
        <w:rPr>
          <w:rFonts w:cs="Times New Roman"/>
        </w:rPr>
        <w:t>West Bank</w:t>
      </w:r>
      <w:r>
        <w:t>.</w:t>
      </w:r>
    </w:p>
    <w:p w:rsidR="00320AFC" w:rsidRDefault="00DC48A1">
      <w:pPr>
        <w:rPr>
          <w:sz w:val="24"/>
          <w:szCs w:val="24"/>
        </w:rPr>
      </w:pPr>
      <w:r>
        <w:rPr>
          <w:sz w:val="24"/>
          <w:szCs w:val="24"/>
        </w:rPr>
        <w:br w:type="page"/>
      </w:r>
      <w:r w:rsidR="00320AFC">
        <w:rPr>
          <w:b/>
          <w:bCs/>
          <w:sz w:val="24"/>
          <w:szCs w:val="24"/>
        </w:rPr>
        <w:lastRenderedPageBreak/>
        <w:br w:type="page"/>
      </w:r>
    </w:p>
    <w:p w:rsidR="005E1E3C" w:rsidRDefault="005E1E3C" w:rsidP="005E1E3C">
      <w:pPr>
        <w:pStyle w:val="Title"/>
        <w:rPr>
          <w:b w:val="0"/>
          <w:bCs w:val="0"/>
          <w:sz w:val="24"/>
          <w:szCs w:val="24"/>
        </w:rPr>
      </w:pPr>
      <w:r>
        <w:rPr>
          <w:b w:val="0"/>
          <w:bCs w:val="0"/>
          <w:sz w:val="24"/>
          <w:szCs w:val="24"/>
        </w:rPr>
        <w:lastRenderedPageBreak/>
        <w:t>Chapter Two</w:t>
      </w:r>
    </w:p>
    <w:p w:rsidR="005E1E3C" w:rsidRDefault="005E1E3C" w:rsidP="005E1E3C">
      <w:pPr>
        <w:pStyle w:val="Title"/>
        <w:rPr>
          <w:b w:val="0"/>
          <w:bCs w:val="0"/>
          <w:sz w:val="24"/>
          <w:szCs w:val="24"/>
          <w:rtl/>
          <w:lang w:val="en-GB"/>
        </w:rPr>
      </w:pPr>
    </w:p>
    <w:p w:rsidR="005E1E3C" w:rsidRDefault="005E1E3C" w:rsidP="005E1E3C">
      <w:pPr>
        <w:pStyle w:val="BodyText2"/>
        <w:ind w:right="-144"/>
        <w:jc w:val="center"/>
        <w:rPr>
          <w:b/>
          <w:bCs/>
          <w:sz w:val="28"/>
          <w:szCs w:val="28"/>
        </w:rPr>
      </w:pPr>
      <w:r>
        <w:rPr>
          <w:b/>
          <w:bCs/>
          <w:sz w:val="28"/>
          <w:szCs w:val="28"/>
        </w:rPr>
        <w:t>Methodology and Data Quality</w:t>
      </w:r>
    </w:p>
    <w:p w:rsidR="005E1E3C" w:rsidRDefault="005E1E3C" w:rsidP="005E1E3C">
      <w:pPr>
        <w:pStyle w:val="BodyText2"/>
        <w:ind w:right="-144"/>
        <w:jc w:val="center"/>
        <w:rPr>
          <w:b/>
          <w:bCs/>
        </w:rPr>
      </w:pPr>
    </w:p>
    <w:p w:rsidR="005E1E3C" w:rsidRDefault="005E1E3C" w:rsidP="00953976">
      <w:pPr>
        <w:ind w:left="45"/>
        <w:jc w:val="lowKashida"/>
        <w:rPr>
          <w:sz w:val="24"/>
          <w:szCs w:val="24"/>
        </w:rPr>
      </w:pPr>
      <w:r>
        <w:rPr>
          <w:sz w:val="24"/>
          <w:szCs w:val="24"/>
        </w:rPr>
        <w:t>This section presents the methodology used in data collection from different sources: Applied Research Institute-Jerusalem (ARIJ), Israel</w:t>
      </w:r>
      <w:r w:rsidR="00953976">
        <w:rPr>
          <w:sz w:val="24"/>
          <w:szCs w:val="24"/>
        </w:rPr>
        <w:t xml:space="preserve">i Central Bureau of Statistics, </w:t>
      </w:r>
      <w:r>
        <w:rPr>
          <w:sz w:val="24"/>
          <w:szCs w:val="24"/>
        </w:rPr>
        <w:t xml:space="preserve">Jerusalem Institute for Israeli Studies, </w:t>
      </w:r>
      <w:r w:rsidR="00953976">
        <w:rPr>
          <w:sz w:val="24"/>
          <w:szCs w:val="24"/>
        </w:rPr>
        <w:t>and</w:t>
      </w:r>
      <w:r>
        <w:rPr>
          <w:sz w:val="24"/>
          <w:szCs w:val="24"/>
        </w:rPr>
        <w:t xml:space="preserve"> Israeli Information Center for Human Rights in the Occupied Territories - B'TSELEM.  </w:t>
      </w:r>
    </w:p>
    <w:p w:rsidR="005E1E3C" w:rsidRDefault="005E1E3C" w:rsidP="005E1E3C">
      <w:pPr>
        <w:ind w:left="45"/>
        <w:jc w:val="lowKashida"/>
        <w:rPr>
          <w:sz w:val="24"/>
          <w:szCs w:val="24"/>
        </w:rPr>
      </w:pPr>
    </w:p>
    <w:p w:rsidR="005E1E3C" w:rsidRDefault="005E1E3C" w:rsidP="005E1E3C">
      <w:pPr>
        <w:ind w:left="45"/>
        <w:jc w:val="lowKashida"/>
        <w:rPr>
          <w:b/>
          <w:bCs/>
          <w:sz w:val="24"/>
          <w:szCs w:val="24"/>
        </w:rPr>
      </w:pPr>
      <w:r>
        <w:rPr>
          <w:b/>
          <w:bCs/>
          <w:sz w:val="24"/>
          <w:szCs w:val="24"/>
        </w:rPr>
        <w:t>2.1 Coverage</w:t>
      </w:r>
    </w:p>
    <w:p w:rsidR="005E1E3C" w:rsidRDefault="005E1E3C" w:rsidP="008571B2">
      <w:pPr>
        <w:ind w:left="45"/>
        <w:jc w:val="lowKashida"/>
        <w:rPr>
          <w:color w:val="FF0000"/>
          <w:sz w:val="24"/>
          <w:szCs w:val="24"/>
        </w:rPr>
      </w:pPr>
      <w:r>
        <w:rPr>
          <w:sz w:val="24"/>
          <w:szCs w:val="24"/>
        </w:rPr>
        <w:t>Data of Israeli settlements include all the areas classified by the Palestinian Official sources as West Bank, including settlements in J1, and no-man’s-land in Ramallah &amp; Al-</w:t>
      </w:r>
      <w:proofErr w:type="spellStart"/>
      <w:r>
        <w:rPr>
          <w:sz w:val="24"/>
          <w:szCs w:val="24"/>
        </w:rPr>
        <w:t>Bireh</w:t>
      </w:r>
      <w:proofErr w:type="spellEnd"/>
      <w:r>
        <w:rPr>
          <w:sz w:val="24"/>
          <w:szCs w:val="24"/>
        </w:rPr>
        <w:t xml:space="preserve"> Governorate, closed military areas along the green line in the West Bank</w:t>
      </w:r>
      <w:r w:rsidR="008571B2" w:rsidRPr="008571B2">
        <w:rPr>
          <w:sz w:val="24"/>
          <w:szCs w:val="24"/>
        </w:rPr>
        <w:t>.</w:t>
      </w:r>
    </w:p>
    <w:p w:rsidR="005E1E3C" w:rsidRDefault="005E1E3C" w:rsidP="005E1E3C">
      <w:pPr>
        <w:ind w:left="45"/>
        <w:jc w:val="lowKashida"/>
        <w:rPr>
          <w:sz w:val="24"/>
          <w:szCs w:val="24"/>
        </w:rPr>
      </w:pPr>
    </w:p>
    <w:p w:rsidR="00953976" w:rsidRDefault="00953976" w:rsidP="00953976">
      <w:pPr>
        <w:ind w:left="45"/>
        <w:jc w:val="lowKashida"/>
        <w:rPr>
          <w:sz w:val="24"/>
          <w:szCs w:val="24"/>
        </w:rPr>
      </w:pPr>
      <w:r>
        <w:rPr>
          <w:sz w:val="24"/>
          <w:szCs w:val="24"/>
        </w:rPr>
        <w:t>Figures in the Israeli Settlements in the Palestinian Territory Report were based on the database created to supply data about Israeli settlements in the Palestinian Territory.</w:t>
      </w:r>
    </w:p>
    <w:p w:rsidR="00953976" w:rsidRDefault="00953976" w:rsidP="00953976">
      <w:pPr>
        <w:ind w:left="45"/>
        <w:jc w:val="lowKashida"/>
        <w:rPr>
          <w:sz w:val="24"/>
          <w:szCs w:val="24"/>
        </w:rPr>
      </w:pPr>
    </w:p>
    <w:p w:rsidR="005E1E3C" w:rsidRDefault="005E1E3C" w:rsidP="005E1E3C">
      <w:pPr>
        <w:ind w:left="45"/>
        <w:jc w:val="lowKashida"/>
        <w:rPr>
          <w:b/>
          <w:bCs/>
          <w:sz w:val="24"/>
          <w:szCs w:val="24"/>
        </w:rPr>
      </w:pPr>
      <w:r>
        <w:rPr>
          <w:b/>
          <w:bCs/>
          <w:sz w:val="24"/>
          <w:szCs w:val="24"/>
        </w:rPr>
        <w:t>2.2 Data Sources</w:t>
      </w:r>
    </w:p>
    <w:p w:rsidR="005E1E3C" w:rsidRDefault="005E1E3C" w:rsidP="005E1E3C">
      <w:pPr>
        <w:ind w:left="45"/>
        <w:jc w:val="lowKashida"/>
        <w:rPr>
          <w:b/>
          <w:bCs/>
          <w:sz w:val="24"/>
          <w:szCs w:val="24"/>
        </w:rPr>
      </w:pPr>
      <w:r>
        <w:rPr>
          <w:b/>
          <w:bCs/>
          <w:sz w:val="24"/>
          <w:szCs w:val="24"/>
        </w:rPr>
        <w:t>Israeli Settlements Database</w:t>
      </w:r>
    </w:p>
    <w:p w:rsidR="00953976" w:rsidRDefault="00953976" w:rsidP="00953976">
      <w:pPr>
        <w:ind w:left="45"/>
        <w:jc w:val="lowKashida"/>
        <w:rPr>
          <w:sz w:val="24"/>
          <w:szCs w:val="24"/>
        </w:rPr>
      </w:pPr>
      <w:r>
        <w:rPr>
          <w:sz w:val="24"/>
          <w:szCs w:val="24"/>
        </w:rPr>
        <w:t>Starting in 2002, PCBS has created and developed a database including all the Israeli settlements in the Palestinian Territory. The database has been continuously updated using various data sources, such as the Palestinian Ministry of Planning, and a number of Palestinian and Israeli sources, in addition to estimates based on statistical assumptions.</w:t>
      </w:r>
    </w:p>
    <w:p w:rsidR="005E1E3C" w:rsidRDefault="005E1E3C" w:rsidP="005E1E3C">
      <w:pPr>
        <w:ind w:left="45"/>
        <w:jc w:val="lowKashida"/>
        <w:rPr>
          <w:sz w:val="24"/>
          <w:szCs w:val="24"/>
        </w:rPr>
      </w:pPr>
    </w:p>
    <w:p w:rsidR="005E1E3C" w:rsidRDefault="005E1E3C" w:rsidP="005E1E3C">
      <w:pPr>
        <w:ind w:left="45"/>
        <w:jc w:val="lowKashida"/>
        <w:rPr>
          <w:b/>
          <w:bCs/>
          <w:sz w:val="24"/>
          <w:szCs w:val="24"/>
        </w:rPr>
      </w:pPr>
      <w:r>
        <w:rPr>
          <w:b/>
          <w:bCs/>
          <w:sz w:val="24"/>
          <w:szCs w:val="24"/>
        </w:rPr>
        <w:t xml:space="preserve">Israeli Central Bureau of Statistics </w:t>
      </w:r>
    </w:p>
    <w:p w:rsidR="005E1E3C" w:rsidRDefault="005E1E3C" w:rsidP="00953976">
      <w:pPr>
        <w:ind w:left="45"/>
        <w:jc w:val="lowKashida"/>
        <w:rPr>
          <w:sz w:val="24"/>
          <w:szCs w:val="24"/>
        </w:rPr>
      </w:pPr>
      <w:r>
        <w:rPr>
          <w:sz w:val="24"/>
          <w:szCs w:val="24"/>
        </w:rPr>
        <w:t xml:space="preserve">ICBS represents the main source of data on annual population of Israeli settlements and the establishment date of settlements, the type of settlements, </w:t>
      </w:r>
      <w:r w:rsidR="00953976">
        <w:rPr>
          <w:sz w:val="24"/>
          <w:szCs w:val="24"/>
        </w:rPr>
        <w:t>r</w:t>
      </w:r>
      <w:r>
        <w:rPr>
          <w:sz w:val="24"/>
          <w:szCs w:val="24"/>
        </w:rPr>
        <w:t xml:space="preserve">egional </w:t>
      </w:r>
      <w:r w:rsidR="00953976">
        <w:rPr>
          <w:sz w:val="24"/>
          <w:szCs w:val="24"/>
        </w:rPr>
        <w:t>c</w:t>
      </w:r>
      <w:r>
        <w:rPr>
          <w:sz w:val="24"/>
          <w:szCs w:val="24"/>
        </w:rPr>
        <w:t>ouncil and institutional affiliations.</w:t>
      </w:r>
    </w:p>
    <w:p w:rsidR="005E1E3C" w:rsidRDefault="005E1E3C" w:rsidP="005E1E3C">
      <w:pPr>
        <w:ind w:left="45"/>
        <w:jc w:val="lowKashida"/>
        <w:rPr>
          <w:sz w:val="18"/>
          <w:szCs w:val="18"/>
        </w:rPr>
      </w:pPr>
    </w:p>
    <w:p w:rsidR="005E1E3C" w:rsidRDefault="00953976" w:rsidP="005E1E3C">
      <w:pPr>
        <w:ind w:left="45"/>
        <w:jc w:val="lowKashida"/>
        <w:rPr>
          <w:sz w:val="24"/>
          <w:szCs w:val="24"/>
        </w:rPr>
      </w:pPr>
      <w:r>
        <w:rPr>
          <w:sz w:val="24"/>
          <w:szCs w:val="24"/>
        </w:rPr>
        <w:t>It should be noted that this data source only covers Israeli settlements located in the West Bank. There are no data on settlements in the Jerusalem area (J1).</w:t>
      </w:r>
    </w:p>
    <w:p w:rsidR="00953976" w:rsidRDefault="00953976" w:rsidP="005E1E3C">
      <w:pPr>
        <w:ind w:left="45"/>
        <w:jc w:val="lowKashida"/>
        <w:rPr>
          <w:sz w:val="24"/>
          <w:szCs w:val="24"/>
        </w:rPr>
      </w:pPr>
    </w:p>
    <w:p w:rsidR="005E1E3C" w:rsidRDefault="005E1E3C" w:rsidP="005E1E3C">
      <w:pPr>
        <w:ind w:left="45"/>
        <w:jc w:val="lowKashida"/>
        <w:rPr>
          <w:b/>
          <w:bCs/>
          <w:sz w:val="24"/>
          <w:szCs w:val="24"/>
        </w:rPr>
      </w:pPr>
      <w:r>
        <w:rPr>
          <w:b/>
          <w:bCs/>
          <w:sz w:val="24"/>
          <w:szCs w:val="24"/>
        </w:rPr>
        <w:t>The Jerusalem Institute for Israeli Studies</w:t>
      </w:r>
    </w:p>
    <w:p w:rsidR="00953976" w:rsidRDefault="00953976" w:rsidP="00953976">
      <w:pPr>
        <w:ind w:left="45"/>
        <w:jc w:val="lowKashida"/>
        <w:rPr>
          <w:sz w:val="24"/>
          <w:szCs w:val="24"/>
        </w:rPr>
      </w:pPr>
      <w:r>
        <w:rPr>
          <w:sz w:val="24"/>
          <w:szCs w:val="24"/>
        </w:rPr>
        <w:t>The Jerusalem Institute for Israeli Studies represents the main source of data for the settler population of the settlements located in the Jerusalem area (J1).</w:t>
      </w:r>
    </w:p>
    <w:p w:rsidR="00953976" w:rsidRDefault="00953976" w:rsidP="00953976">
      <w:pPr>
        <w:jc w:val="lowKashida"/>
        <w:rPr>
          <w:sz w:val="24"/>
          <w:szCs w:val="24"/>
        </w:rPr>
      </w:pPr>
    </w:p>
    <w:p w:rsidR="005E1E3C" w:rsidRDefault="005E1E3C" w:rsidP="005E1E3C">
      <w:pPr>
        <w:jc w:val="lowKashida"/>
        <w:rPr>
          <w:sz w:val="24"/>
          <w:szCs w:val="24"/>
        </w:rPr>
      </w:pPr>
    </w:p>
    <w:p w:rsidR="005E1E3C" w:rsidRDefault="005E1E3C" w:rsidP="005E1E3C">
      <w:pPr>
        <w:ind w:left="45"/>
        <w:jc w:val="lowKashida"/>
        <w:rPr>
          <w:b/>
          <w:bCs/>
          <w:sz w:val="24"/>
          <w:szCs w:val="24"/>
        </w:rPr>
      </w:pPr>
      <w:r>
        <w:rPr>
          <w:b/>
          <w:bCs/>
          <w:sz w:val="24"/>
          <w:szCs w:val="24"/>
        </w:rPr>
        <w:t>2.3 Data Processing</w:t>
      </w:r>
    </w:p>
    <w:p w:rsidR="00953976" w:rsidRDefault="00953976" w:rsidP="00953976">
      <w:pPr>
        <w:jc w:val="lowKashida"/>
        <w:rPr>
          <w:sz w:val="24"/>
          <w:szCs w:val="24"/>
        </w:rPr>
      </w:pPr>
      <w:r>
        <w:rPr>
          <w:sz w:val="24"/>
          <w:szCs w:val="24"/>
        </w:rPr>
        <w:t>The Israeli settlements database contains many fields necessary for the preparation of tables; this database is updated annually and statistical tables were extracted based on the updated data.  Updating the data relates to the population of each settlement and the classification of new fields as either updated or revised as follows:</w:t>
      </w:r>
    </w:p>
    <w:p w:rsidR="00953976" w:rsidRDefault="00953976" w:rsidP="00953976">
      <w:pPr>
        <w:numPr>
          <w:ilvl w:val="0"/>
          <w:numId w:val="5"/>
        </w:numPr>
        <w:jc w:val="lowKashida"/>
        <w:rPr>
          <w:sz w:val="24"/>
          <w:szCs w:val="24"/>
        </w:rPr>
      </w:pPr>
      <w:r>
        <w:rPr>
          <w:sz w:val="24"/>
          <w:szCs w:val="24"/>
        </w:rPr>
        <w:t xml:space="preserve">Linking the population of each settlement with </w:t>
      </w:r>
      <w:r w:rsidRPr="000D3306">
        <w:rPr>
          <w:sz w:val="24"/>
          <w:szCs w:val="24"/>
        </w:rPr>
        <w:t>a population of attribution</w:t>
      </w:r>
      <w:r>
        <w:rPr>
          <w:sz w:val="24"/>
          <w:szCs w:val="24"/>
        </w:rPr>
        <w:t xml:space="preserve"> and the settlements for which data are available; </w:t>
      </w:r>
      <w:r>
        <w:rPr>
          <w:rFonts w:cs="Times New Roman"/>
          <w:sz w:val="24"/>
          <w:szCs w:val="24"/>
          <w:lang w:val="en-AU" w:eastAsia="en-AU"/>
        </w:rPr>
        <w:t>data are usually updated yearly by Israeli statistics.</w:t>
      </w:r>
    </w:p>
    <w:p w:rsidR="00953976" w:rsidRDefault="00953976" w:rsidP="00953976">
      <w:pPr>
        <w:numPr>
          <w:ilvl w:val="0"/>
          <w:numId w:val="5"/>
        </w:numPr>
        <w:jc w:val="lowKashida"/>
        <w:rPr>
          <w:sz w:val="24"/>
          <w:szCs w:val="24"/>
        </w:rPr>
      </w:pPr>
      <w:r>
        <w:rPr>
          <w:sz w:val="24"/>
          <w:szCs w:val="24"/>
        </w:rPr>
        <w:t xml:space="preserve">With regard to settlements whose total population was not available for the reference period (often those with less than 1000 people), a population estimate was calculated based on the latest data available, using an assumption of the constant annual growth rate for the last two years for each settlement. </w:t>
      </w:r>
    </w:p>
    <w:p w:rsidR="00953976" w:rsidRDefault="00953976" w:rsidP="00953976">
      <w:pPr>
        <w:numPr>
          <w:ilvl w:val="0"/>
          <w:numId w:val="5"/>
        </w:numPr>
        <w:jc w:val="lowKashida"/>
        <w:rPr>
          <w:sz w:val="24"/>
          <w:szCs w:val="24"/>
        </w:rPr>
      </w:pPr>
      <w:r>
        <w:rPr>
          <w:sz w:val="24"/>
          <w:szCs w:val="24"/>
        </w:rPr>
        <w:lastRenderedPageBreak/>
        <w:t>Re-examining the population of each settlement to change the classification depending on the number of people in the reference year. For example, for settlements with a population of over 2000, the classification may be changed from rural to urban and all fields related to this classification will be changed.</w:t>
      </w:r>
    </w:p>
    <w:p w:rsidR="00953976" w:rsidRDefault="00953976" w:rsidP="00953976">
      <w:pPr>
        <w:numPr>
          <w:ilvl w:val="0"/>
          <w:numId w:val="5"/>
        </w:numPr>
        <w:jc w:val="lowKashida"/>
        <w:rPr>
          <w:sz w:val="24"/>
          <w:szCs w:val="24"/>
        </w:rPr>
      </w:pPr>
      <w:r>
        <w:rPr>
          <w:sz w:val="24"/>
          <w:szCs w:val="24"/>
        </w:rPr>
        <w:t>After updating the database, comprehensive editing and comparisons were done to examine the logic and consistency of the figures compared with previous data.</w:t>
      </w:r>
    </w:p>
    <w:p w:rsidR="00953976" w:rsidRDefault="00953976" w:rsidP="00953976">
      <w:pPr>
        <w:numPr>
          <w:ilvl w:val="0"/>
          <w:numId w:val="5"/>
        </w:numPr>
        <w:jc w:val="lowKashida"/>
        <w:rPr>
          <w:sz w:val="24"/>
          <w:szCs w:val="24"/>
        </w:rPr>
      </w:pPr>
      <w:r>
        <w:rPr>
          <w:sz w:val="24"/>
          <w:szCs w:val="24"/>
        </w:rPr>
        <w:t>Matching the results in the database with the results in the original sources and within the same geographic area of comparable data.</w:t>
      </w:r>
    </w:p>
    <w:p w:rsidR="00953976" w:rsidRDefault="00953976" w:rsidP="00953976">
      <w:pPr>
        <w:pStyle w:val="BodyText2"/>
        <w:ind w:right="-144"/>
        <w:jc w:val="left"/>
        <w:rPr>
          <w:b/>
          <w:bCs/>
        </w:rPr>
      </w:pPr>
      <w:r>
        <w:t>Extraction tables and verification of results</w:t>
      </w:r>
    </w:p>
    <w:p w:rsidR="00953976" w:rsidRDefault="00953976" w:rsidP="00953976">
      <w:pPr>
        <w:pStyle w:val="BodyText2"/>
        <w:ind w:right="-144"/>
        <w:jc w:val="left"/>
        <w:rPr>
          <w:b/>
          <w:bCs/>
        </w:rPr>
      </w:pPr>
    </w:p>
    <w:p w:rsidR="005E1E3C" w:rsidRPr="00511655" w:rsidRDefault="005E1E3C" w:rsidP="00953976">
      <w:pPr>
        <w:pStyle w:val="BodyText2"/>
        <w:ind w:right="-144"/>
        <w:jc w:val="left"/>
        <w:rPr>
          <w:b/>
          <w:bCs/>
        </w:rPr>
      </w:pPr>
      <w:r w:rsidRPr="00511655">
        <w:rPr>
          <w:b/>
          <w:bCs/>
        </w:rPr>
        <w:t xml:space="preserve">2.4 </w:t>
      </w:r>
      <w:r w:rsidR="00BD3273" w:rsidRPr="00BD3273">
        <w:rPr>
          <w:b/>
          <w:bCs/>
        </w:rPr>
        <w:t>Accuracy of the Data</w:t>
      </w:r>
      <w:r w:rsidR="00BD3273" w:rsidRPr="00511655">
        <w:rPr>
          <w:b/>
          <w:bCs/>
        </w:rPr>
        <w:t xml:space="preserve"> </w:t>
      </w:r>
    </w:p>
    <w:p w:rsidR="005E1E3C" w:rsidRDefault="005E1E3C" w:rsidP="005E1E3C">
      <w:pPr>
        <w:ind w:left="45"/>
        <w:jc w:val="lowKashida"/>
        <w:rPr>
          <w:b/>
          <w:bCs/>
          <w:sz w:val="24"/>
          <w:szCs w:val="24"/>
        </w:rPr>
      </w:pPr>
      <w:r>
        <w:rPr>
          <w:b/>
          <w:bCs/>
          <w:sz w:val="24"/>
          <w:szCs w:val="24"/>
        </w:rPr>
        <w:t xml:space="preserve">Number of Population: </w:t>
      </w:r>
    </w:p>
    <w:p w:rsidR="00953976" w:rsidRDefault="00953976" w:rsidP="00953976">
      <w:pPr>
        <w:jc w:val="lowKashida"/>
        <w:rPr>
          <w:sz w:val="24"/>
          <w:szCs w:val="24"/>
        </w:rPr>
      </w:pPr>
      <w:r>
        <w:rPr>
          <w:sz w:val="24"/>
          <w:szCs w:val="24"/>
        </w:rPr>
        <w:t xml:space="preserve">The number of settlers for the settlements where there is lack of detailed data about the population was estimated based on the constant annual growth rate of the latest two years according to available data. </w:t>
      </w:r>
    </w:p>
    <w:p w:rsidR="00953976" w:rsidRDefault="00953976" w:rsidP="00953976">
      <w:pPr>
        <w:jc w:val="lowKashida"/>
        <w:rPr>
          <w:sz w:val="16"/>
          <w:szCs w:val="16"/>
        </w:rPr>
      </w:pPr>
    </w:p>
    <w:p w:rsidR="00953976" w:rsidRDefault="00953976" w:rsidP="00953976">
      <w:pPr>
        <w:jc w:val="lowKashida"/>
        <w:rPr>
          <w:sz w:val="24"/>
          <w:szCs w:val="24"/>
        </w:rPr>
      </w:pPr>
      <w:r>
        <w:rPr>
          <w:sz w:val="24"/>
          <w:szCs w:val="24"/>
        </w:rPr>
        <w:t>Due to the unusual dimension of population growth, the sources of this growth cannot respond to hypotheses that include demographic exceptions, particularly flow of immigration or political trends that lead to discrepancies in population levels.</w:t>
      </w:r>
    </w:p>
    <w:p w:rsidR="00953976" w:rsidRDefault="00953976" w:rsidP="00953976">
      <w:pPr>
        <w:jc w:val="lowKashida"/>
        <w:rPr>
          <w:sz w:val="16"/>
          <w:szCs w:val="16"/>
        </w:rPr>
      </w:pPr>
    </w:p>
    <w:p w:rsidR="00953976" w:rsidRDefault="00953976" w:rsidP="00953976">
      <w:pPr>
        <w:jc w:val="lowKashida"/>
        <w:rPr>
          <w:sz w:val="24"/>
          <w:szCs w:val="24"/>
        </w:rPr>
      </w:pPr>
      <w:r>
        <w:rPr>
          <w:sz w:val="24"/>
          <w:szCs w:val="24"/>
        </w:rPr>
        <w:t xml:space="preserve">However, the general estimates at the level of the West Bank are statistically accurate and reflect a margin error of </w:t>
      </w:r>
      <w:r w:rsidRPr="00661441">
        <w:rPr>
          <w:sz w:val="24"/>
          <w:szCs w:val="24"/>
          <w:rtl/>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11.7pt" o:ole="">
            <v:imagedata r:id="rId15" o:title=""/>
          </v:shape>
          <o:OLEObject Type="Embed" ProgID="Equation.3" ShapeID="_x0000_i1025" DrawAspect="Content" ObjectID="_1373797928" r:id="rId16"/>
        </w:object>
      </w:r>
      <w:r>
        <w:rPr>
          <w:rFonts w:hint="cs"/>
          <w:sz w:val="24"/>
          <w:szCs w:val="24"/>
          <w:rtl/>
          <w:lang w:val="en-GB"/>
        </w:rPr>
        <w:t xml:space="preserve"> </w:t>
      </w:r>
      <w:r>
        <w:rPr>
          <w:sz w:val="24"/>
          <w:szCs w:val="24"/>
        </w:rPr>
        <w:t>6%.</w:t>
      </w:r>
    </w:p>
    <w:p w:rsidR="00953976" w:rsidRDefault="00953976" w:rsidP="00953976">
      <w:pPr>
        <w:jc w:val="lowKashida"/>
        <w:rPr>
          <w:sz w:val="16"/>
          <w:szCs w:val="16"/>
        </w:rPr>
      </w:pPr>
    </w:p>
    <w:p w:rsidR="005E1E3C" w:rsidRDefault="005E1E3C" w:rsidP="005E1E3C">
      <w:pPr>
        <w:jc w:val="lowKashida"/>
        <w:rPr>
          <w:sz w:val="16"/>
          <w:szCs w:val="16"/>
        </w:rPr>
      </w:pPr>
    </w:p>
    <w:p w:rsidR="005E1E3C" w:rsidRDefault="00320AFC" w:rsidP="00C36C56">
      <w:pPr>
        <w:pStyle w:val="BodyText2"/>
        <w:ind w:right="-144"/>
        <w:jc w:val="left"/>
        <w:rPr>
          <w:b/>
          <w:bCs/>
        </w:rPr>
      </w:pPr>
      <w:r w:rsidRPr="00511655">
        <w:rPr>
          <w:b/>
          <w:bCs/>
        </w:rPr>
        <w:t>2.</w:t>
      </w:r>
      <w:r>
        <w:rPr>
          <w:b/>
          <w:bCs/>
        </w:rPr>
        <w:t>5</w:t>
      </w:r>
      <w:r w:rsidRPr="00511655">
        <w:rPr>
          <w:b/>
          <w:bCs/>
        </w:rPr>
        <w:t xml:space="preserve"> </w:t>
      </w:r>
      <w:r w:rsidR="005E1E3C">
        <w:rPr>
          <w:b/>
          <w:bCs/>
        </w:rPr>
        <w:t>Technical Notes</w:t>
      </w:r>
    </w:p>
    <w:p w:rsidR="00953976" w:rsidRDefault="00953976" w:rsidP="00953976">
      <w:pPr>
        <w:numPr>
          <w:ilvl w:val="0"/>
          <w:numId w:val="4"/>
        </w:numPr>
        <w:jc w:val="lowKashida"/>
        <w:rPr>
          <w:sz w:val="24"/>
          <w:szCs w:val="24"/>
        </w:rPr>
      </w:pPr>
      <w:r>
        <w:rPr>
          <w:sz w:val="24"/>
          <w:szCs w:val="24"/>
        </w:rPr>
        <w:t xml:space="preserve">For the purpose of correlating area with population, a number of settlements in Jerusalem-J1 were joined together in this report. As a result, the number of settlements was reduced from 22 settlements in 2003 to 16 in the period 2004-2010. It should be emphasized that this decrease does not in any way point to an actual reduction in the number of settlements in that area.   </w:t>
      </w:r>
    </w:p>
    <w:p w:rsidR="00953976" w:rsidRDefault="00953976" w:rsidP="00953976">
      <w:pPr>
        <w:numPr>
          <w:ilvl w:val="0"/>
          <w:numId w:val="4"/>
        </w:numPr>
        <w:jc w:val="lowKashida"/>
        <w:rPr>
          <w:sz w:val="24"/>
          <w:szCs w:val="24"/>
        </w:rPr>
      </w:pPr>
      <w:r>
        <w:rPr>
          <w:sz w:val="24"/>
          <w:szCs w:val="24"/>
        </w:rPr>
        <w:t>There is a lack of coverage of some data from all sources.</w:t>
      </w:r>
    </w:p>
    <w:p w:rsidR="00953976" w:rsidRDefault="00953976" w:rsidP="00953976">
      <w:pPr>
        <w:numPr>
          <w:ilvl w:val="0"/>
          <w:numId w:val="4"/>
        </w:numPr>
        <w:jc w:val="lowKashida"/>
        <w:rPr>
          <w:sz w:val="24"/>
          <w:szCs w:val="24"/>
        </w:rPr>
      </w:pPr>
      <w:r>
        <w:rPr>
          <w:sz w:val="24"/>
          <w:szCs w:val="24"/>
        </w:rPr>
        <w:t>Data derived from the publications of the Israel Central Bureau of Statistics do not include that part of Jerusalem annexed by Israel in 1967, in addition to settlements annexed by Israel from Ramallah and al-Bireh or Hebron governorates.</w:t>
      </w:r>
    </w:p>
    <w:p w:rsidR="00953976" w:rsidRDefault="00953976" w:rsidP="00953976">
      <w:pPr>
        <w:numPr>
          <w:ilvl w:val="0"/>
          <w:numId w:val="4"/>
        </w:numPr>
        <w:jc w:val="lowKashida"/>
        <w:rPr>
          <w:sz w:val="24"/>
          <w:szCs w:val="24"/>
        </w:rPr>
      </w:pPr>
      <w:r>
        <w:rPr>
          <w:sz w:val="24"/>
          <w:szCs w:val="24"/>
        </w:rPr>
        <w:t>The statistics presented in this report are derived from various sources which are not fully consistent and it is therefore advisable to take this into consideration when using these statistics.</w:t>
      </w:r>
    </w:p>
    <w:p w:rsidR="00953976" w:rsidRDefault="00953976" w:rsidP="00953976">
      <w:pPr>
        <w:numPr>
          <w:ilvl w:val="0"/>
          <w:numId w:val="4"/>
        </w:numPr>
        <w:jc w:val="lowKashida"/>
        <w:rPr>
          <w:sz w:val="24"/>
          <w:szCs w:val="24"/>
        </w:rPr>
      </w:pPr>
      <w:r>
        <w:rPr>
          <w:sz w:val="24"/>
          <w:szCs w:val="24"/>
        </w:rPr>
        <w:t xml:space="preserve">The population data of settlements with less than 1000 settlers and the population of settlements in the JI area are not available for </w:t>
      </w:r>
      <w:r>
        <w:rPr>
          <w:rFonts w:cs="Times New Roman"/>
          <w:sz w:val="24"/>
          <w:szCs w:val="24"/>
        </w:rPr>
        <w:t>2007</w:t>
      </w:r>
      <w:r>
        <w:rPr>
          <w:sz w:val="24"/>
          <w:szCs w:val="24"/>
        </w:rPr>
        <w:t>. These data were estimated using the assumptions mentioned previously based on the rate of growth.</w:t>
      </w:r>
    </w:p>
    <w:p w:rsidR="00953976" w:rsidRDefault="00953976" w:rsidP="00953976">
      <w:pPr>
        <w:ind w:right="360"/>
        <w:jc w:val="lowKashida"/>
        <w:rPr>
          <w:sz w:val="24"/>
          <w:szCs w:val="24"/>
        </w:rPr>
      </w:pPr>
    </w:p>
    <w:p w:rsidR="005E1E3C" w:rsidRDefault="005E1E3C" w:rsidP="005E1E3C">
      <w:pPr>
        <w:ind w:right="360"/>
        <w:jc w:val="lowKashida"/>
        <w:rPr>
          <w:sz w:val="24"/>
          <w:szCs w:val="24"/>
        </w:rPr>
      </w:pPr>
    </w:p>
    <w:p w:rsidR="005E1E3C" w:rsidRDefault="005E1E3C" w:rsidP="005E1E3C">
      <w:pPr>
        <w:ind w:right="360"/>
        <w:jc w:val="lowKashida"/>
        <w:rPr>
          <w:sz w:val="24"/>
          <w:szCs w:val="24"/>
        </w:rPr>
      </w:pPr>
    </w:p>
    <w:p w:rsidR="005E1E3C" w:rsidRDefault="005E1E3C" w:rsidP="005E1E3C">
      <w:pPr>
        <w:ind w:right="360"/>
        <w:jc w:val="lowKashida"/>
        <w:rPr>
          <w:sz w:val="24"/>
          <w:szCs w:val="24"/>
        </w:rPr>
      </w:pPr>
    </w:p>
    <w:p w:rsidR="005E1E3C" w:rsidRDefault="005E1E3C" w:rsidP="005E1E3C">
      <w:pPr>
        <w:ind w:right="360"/>
        <w:jc w:val="lowKashida"/>
        <w:rPr>
          <w:sz w:val="24"/>
          <w:szCs w:val="24"/>
        </w:rPr>
      </w:pPr>
    </w:p>
    <w:p w:rsidR="005E1E3C" w:rsidRDefault="005E1E3C" w:rsidP="005E1E3C">
      <w:pPr>
        <w:ind w:right="360"/>
        <w:jc w:val="lowKashida"/>
        <w:rPr>
          <w:sz w:val="24"/>
          <w:szCs w:val="24"/>
        </w:rPr>
      </w:pPr>
    </w:p>
    <w:p w:rsidR="005E1E3C" w:rsidRDefault="005E1E3C" w:rsidP="005E1E3C">
      <w:pPr>
        <w:ind w:right="360"/>
        <w:jc w:val="lowKashida"/>
        <w:rPr>
          <w:sz w:val="24"/>
          <w:szCs w:val="24"/>
        </w:rPr>
      </w:pPr>
    </w:p>
    <w:p w:rsidR="005E1E3C" w:rsidRDefault="005E1E3C" w:rsidP="005E1E3C">
      <w:pPr>
        <w:ind w:right="360"/>
        <w:jc w:val="lowKashida"/>
        <w:rPr>
          <w:sz w:val="24"/>
          <w:szCs w:val="24"/>
        </w:rPr>
      </w:pPr>
    </w:p>
    <w:p w:rsidR="005E1E3C" w:rsidRDefault="005E1E3C" w:rsidP="005E1E3C">
      <w:pPr>
        <w:ind w:right="360"/>
        <w:jc w:val="lowKashida"/>
        <w:rPr>
          <w:sz w:val="24"/>
          <w:szCs w:val="24"/>
        </w:rPr>
      </w:pPr>
    </w:p>
    <w:p w:rsidR="005E1E3C" w:rsidRDefault="005E1E3C" w:rsidP="005E1E3C">
      <w:pPr>
        <w:ind w:right="360"/>
        <w:jc w:val="lowKashida"/>
        <w:rPr>
          <w:sz w:val="24"/>
          <w:szCs w:val="24"/>
        </w:rPr>
      </w:pPr>
    </w:p>
    <w:p w:rsidR="005E1E3C" w:rsidRDefault="005E1E3C" w:rsidP="005E1E3C">
      <w:pPr>
        <w:ind w:right="360"/>
        <w:jc w:val="lowKashida"/>
        <w:rPr>
          <w:sz w:val="24"/>
          <w:szCs w:val="24"/>
        </w:rPr>
      </w:pPr>
    </w:p>
    <w:p w:rsidR="005E1E3C" w:rsidRDefault="005E1E3C" w:rsidP="005E1E3C">
      <w:pPr>
        <w:ind w:right="360"/>
        <w:jc w:val="lowKashida"/>
        <w:rPr>
          <w:sz w:val="24"/>
          <w:szCs w:val="24"/>
        </w:rPr>
      </w:pPr>
    </w:p>
    <w:p w:rsidR="005E1E3C" w:rsidRDefault="005E1E3C" w:rsidP="005E1E3C">
      <w:pPr>
        <w:pStyle w:val="Title"/>
        <w:rPr>
          <w:b w:val="0"/>
          <w:bCs w:val="0"/>
          <w:sz w:val="24"/>
          <w:szCs w:val="24"/>
        </w:rPr>
      </w:pPr>
      <w:r>
        <w:rPr>
          <w:b w:val="0"/>
          <w:bCs w:val="0"/>
          <w:sz w:val="24"/>
          <w:szCs w:val="24"/>
        </w:rPr>
        <w:lastRenderedPageBreak/>
        <w:t>Chapter Three</w:t>
      </w:r>
    </w:p>
    <w:p w:rsidR="005E1E3C" w:rsidRDefault="005E1E3C" w:rsidP="005E1E3C">
      <w:pPr>
        <w:pStyle w:val="Title"/>
        <w:rPr>
          <w:b w:val="0"/>
          <w:bCs w:val="0"/>
          <w:sz w:val="24"/>
          <w:szCs w:val="24"/>
        </w:rPr>
      </w:pPr>
    </w:p>
    <w:p w:rsidR="005E1E3C" w:rsidRDefault="005E1E3C" w:rsidP="005E1E3C">
      <w:pPr>
        <w:pStyle w:val="Title"/>
        <w:rPr>
          <w:szCs w:val="28"/>
        </w:rPr>
      </w:pPr>
      <w:r>
        <w:rPr>
          <w:szCs w:val="28"/>
        </w:rPr>
        <w:t>Concepts and Definitions</w:t>
      </w:r>
    </w:p>
    <w:p w:rsidR="005E1E3C" w:rsidRDefault="005E1E3C" w:rsidP="005E1E3C">
      <w:pPr>
        <w:jc w:val="lowKashida"/>
        <w:rPr>
          <w:b/>
          <w:bCs/>
          <w:sz w:val="24"/>
          <w:szCs w:val="24"/>
        </w:rPr>
      </w:pPr>
    </w:p>
    <w:p w:rsidR="005E1E3C" w:rsidRDefault="005E1E3C" w:rsidP="005E1E3C">
      <w:pPr>
        <w:jc w:val="lowKashida"/>
        <w:rPr>
          <w:sz w:val="24"/>
          <w:szCs w:val="24"/>
          <w:lang w:val="en-GB" w:eastAsia="en-GB"/>
        </w:rPr>
      </w:pPr>
      <w:r>
        <w:rPr>
          <w:b/>
          <w:bCs/>
          <w:sz w:val="24"/>
          <w:szCs w:val="24"/>
        </w:rPr>
        <w:t>A Settlement:</w:t>
      </w:r>
      <w:r>
        <w:rPr>
          <w:sz w:val="24"/>
          <w:szCs w:val="24"/>
          <w:rtl/>
          <w:lang w:val="en-GB" w:eastAsia="en-GB"/>
        </w:rPr>
        <w:tab/>
      </w:r>
    </w:p>
    <w:p w:rsidR="005E1E3C" w:rsidRDefault="005E1E3C" w:rsidP="005E1E3C">
      <w:pPr>
        <w:jc w:val="lowKashida"/>
        <w:rPr>
          <w:sz w:val="24"/>
          <w:szCs w:val="24"/>
        </w:rPr>
      </w:pPr>
      <w:r>
        <w:rPr>
          <w:sz w:val="24"/>
          <w:szCs w:val="24"/>
        </w:rPr>
        <w:t xml:space="preserve">A settlement, which is considered by the Israeli occupation as legal settlement and meets locality conditions. The Israeli Central Bureau of Statistics defines a locality as follows: </w:t>
      </w:r>
    </w:p>
    <w:p w:rsidR="005E1E3C" w:rsidRDefault="005E1E3C" w:rsidP="005E1E3C">
      <w:pPr>
        <w:jc w:val="lowKashida"/>
        <w:rPr>
          <w:sz w:val="24"/>
          <w:szCs w:val="24"/>
        </w:rPr>
      </w:pPr>
      <w:r>
        <w:rPr>
          <w:sz w:val="24"/>
          <w:szCs w:val="24"/>
        </w:rPr>
        <w:t>An inhabited place according to the following criteria:</w:t>
      </w:r>
    </w:p>
    <w:p w:rsidR="005E1E3C" w:rsidRDefault="005E1E3C" w:rsidP="005E1E3C">
      <w:pPr>
        <w:numPr>
          <w:ilvl w:val="0"/>
          <w:numId w:val="3"/>
        </w:numPr>
        <w:jc w:val="lowKashida"/>
        <w:rPr>
          <w:sz w:val="24"/>
          <w:szCs w:val="24"/>
        </w:rPr>
      </w:pPr>
      <w:r>
        <w:rPr>
          <w:sz w:val="24"/>
          <w:szCs w:val="24"/>
        </w:rPr>
        <w:t>Mainly has 20 or more inhabitants.</w:t>
      </w:r>
    </w:p>
    <w:p w:rsidR="005E1E3C" w:rsidRDefault="005E1E3C" w:rsidP="005E1E3C">
      <w:pPr>
        <w:numPr>
          <w:ilvl w:val="0"/>
          <w:numId w:val="3"/>
        </w:numPr>
        <w:jc w:val="lowKashida"/>
        <w:rPr>
          <w:sz w:val="24"/>
          <w:szCs w:val="24"/>
        </w:rPr>
      </w:pPr>
      <w:r>
        <w:rPr>
          <w:sz w:val="24"/>
          <w:szCs w:val="24"/>
        </w:rPr>
        <w:t>Self-ruled.</w:t>
      </w:r>
    </w:p>
    <w:p w:rsidR="005E1E3C" w:rsidRDefault="005E1E3C" w:rsidP="005E1E3C">
      <w:pPr>
        <w:numPr>
          <w:ilvl w:val="0"/>
          <w:numId w:val="3"/>
        </w:numPr>
        <w:jc w:val="lowKashida"/>
        <w:rPr>
          <w:sz w:val="24"/>
          <w:szCs w:val="24"/>
        </w:rPr>
      </w:pPr>
      <w:r>
        <w:rPr>
          <w:sz w:val="24"/>
          <w:szCs w:val="24"/>
        </w:rPr>
        <w:t>Not included in the formal borders of another locality.</w:t>
      </w:r>
    </w:p>
    <w:p w:rsidR="005E1E3C" w:rsidRDefault="005E1E3C" w:rsidP="005E1E3C">
      <w:pPr>
        <w:numPr>
          <w:ilvl w:val="0"/>
          <w:numId w:val="3"/>
        </w:numPr>
        <w:jc w:val="lowKashida"/>
        <w:rPr>
          <w:sz w:val="24"/>
          <w:szCs w:val="24"/>
        </w:rPr>
      </w:pPr>
      <w:r>
        <w:rPr>
          <w:sz w:val="24"/>
          <w:szCs w:val="24"/>
        </w:rPr>
        <w:t xml:space="preserve">Formally recognized.  </w:t>
      </w:r>
    </w:p>
    <w:p w:rsidR="005E1E3C" w:rsidRDefault="005E1E3C" w:rsidP="005E1E3C">
      <w:pPr>
        <w:jc w:val="lowKashida"/>
        <w:rPr>
          <w:sz w:val="24"/>
          <w:szCs w:val="24"/>
        </w:rPr>
      </w:pPr>
      <w:r>
        <w:rPr>
          <w:sz w:val="24"/>
          <w:szCs w:val="24"/>
        </w:rPr>
        <w:t xml:space="preserve">In addition to the settlements and Jewish neighborhoods; located in Jerusalem (J1). </w:t>
      </w:r>
    </w:p>
    <w:p w:rsidR="005E1E3C" w:rsidRPr="00D30BD4" w:rsidRDefault="005E1E3C" w:rsidP="005E1E3C">
      <w:pPr>
        <w:tabs>
          <w:tab w:val="left" w:pos="2155"/>
          <w:tab w:val="left" w:pos="9242"/>
        </w:tabs>
        <w:jc w:val="lowKashida"/>
        <w:rPr>
          <w:b/>
          <w:bCs/>
          <w:sz w:val="18"/>
          <w:szCs w:val="18"/>
        </w:rPr>
      </w:pPr>
    </w:p>
    <w:p w:rsidR="005E1E3C" w:rsidRDefault="005E1E3C" w:rsidP="005E1E3C">
      <w:pPr>
        <w:tabs>
          <w:tab w:val="left" w:pos="2155"/>
          <w:tab w:val="left" w:pos="9242"/>
        </w:tabs>
        <w:jc w:val="lowKashida"/>
        <w:rPr>
          <w:b/>
          <w:bCs/>
          <w:sz w:val="24"/>
          <w:szCs w:val="24"/>
          <w:rtl/>
          <w:lang w:val="en-GB"/>
        </w:rPr>
      </w:pPr>
      <w:r>
        <w:rPr>
          <w:b/>
          <w:bCs/>
          <w:sz w:val="24"/>
          <w:szCs w:val="24"/>
        </w:rPr>
        <w:t>Outpost:</w:t>
      </w:r>
    </w:p>
    <w:p w:rsidR="005E1E3C" w:rsidRDefault="005E1E3C" w:rsidP="005E1E3C">
      <w:pPr>
        <w:tabs>
          <w:tab w:val="left" w:pos="2155"/>
          <w:tab w:val="left" w:pos="9242"/>
        </w:tabs>
        <w:jc w:val="lowKashida"/>
        <w:rPr>
          <w:sz w:val="24"/>
          <w:szCs w:val="24"/>
          <w:lang w:val="en-GB" w:eastAsia="en-GB"/>
        </w:rPr>
      </w:pPr>
      <w:r>
        <w:rPr>
          <w:sz w:val="24"/>
          <w:szCs w:val="24"/>
        </w:rPr>
        <w:t>Civil or semi military building, which is not recognized by Israeli authority. However, the recognition would come later at the politically correct moment. Accordingly, an outpost may become a settlement or a military base.</w:t>
      </w:r>
    </w:p>
    <w:p w:rsidR="005E1E3C" w:rsidRDefault="005E1E3C" w:rsidP="005E1E3C">
      <w:pPr>
        <w:tabs>
          <w:tab w:val="left" w:pos="2155"/>
          <w:tab w:val="left" w:pos="9242"/>
        </w:tabs>
        <w:jc w:val="lowKashida"/>
        <w:rPr>
          <w:sz w:val="24"/>
          <w:szCs w:val="24"/>
        </w:rPr>
      </w:pPr>
      <w:r>
        <w:rPr>
          <w:b/>
          <w:bCs/>
          <w:sz w:val="24"/>
          <w:szCs w:val="24"/>
        </w:rPr>
        <w:tab/>
      </w:r>
    </w:p>
    <w:p w:rsidR="005E1E3C" w:rsidRDefault="005E1E3C" w:rsidP="005E1E3C">
      <w:pPr>
        <w:tabs>
          <w:tab w:val="left" w:pos="2155"/>
          <w:tab w:val="left" w:pos="9242"/>
        </w:tabs>
        <w:jc w:val="lowKashida"/>
        <w:rPr>
          <w:b/>
          <w:bCs/>
          <w:sz w:val="24"/>
          <w:szCs w:val="24"/>
        </w:rPr>
      </w:pPr>
      <w:r>
        <w:rPr>
          <w:b/>
          <w:bCs/>
          <w:sz w:val="24"/>
          <w:szCs w:val="24"/>
        </w:rPr>
        <w:t>Occupation Site:</w:t>
      </w:r>
    </w:p>
    <w:p w:rsidR="005E1E3C" w:rsidRDefault="005E1E3C" w:rsidP="005E1E3C">
      <w:pPr>
        <w:tabs>
          <w:tab w:val="left" w:pos="2155"/>
          <w:tab w:val="left" w:pos="9242"/>
        </w:tabs>
        <w:jc w:val="lowKashida"/>
        <w:rPr>
          <w:sz w:val="24"/>
          <w:szCs w:val="24"/>
          <w:lang w:val="en-GB" w:eastAsia="en-GB"/>
        </w:rPr>
      </w:pPr>
      <w:r>
        <w:rPr>
          <w:sz w:val="24"/>
          <w:szCs w:val="24"/>
        </w:rPr>
        <w:t>Includes settlements, outposts, military settlements, semi-military settlements, agricultural settlements, Israeli industrial areas and Israeli military bases.</w:t>
      </w:r>
    </w:p>
    <w:p w:rsidR="005E1E3C" w:rsidRPr="00D30BD4" w:rsidRDefault="005E1E3C" w:rsidP="005E1E3C">
      <w:pPr>
        <w:tabs>
          <w:tab w:val="left" w:pos="2155"/>
          <w:tab w:val="left" w:pos="9242"/>
        </w:tabs>
        <w:jc w:val="lowKashida"/>
        <w:rPr>
          <w:b/>
          <w:bCs/>
          <w:sz w:val="18"/>
          <w:szCs w:val="18"/>
        </w:rPr>
      </w:pPr>
      <w:r w:rsidRPr="00D30BD4">
        <w:rPr>
          <w:b/>
          <w:bCs/>
          <w:sz w:val="18"/>
          <w:szCs w:val="18"/>
        </w:rPr>
        <w:tab/>
      </w:r>
    </w:p>
    <w:p w:rsidR="005E1E3C" w:rsidRDefault="005E1E3C" w:rsidP="005E1E3C">
      <w:pPr>
        <w:tabs>
          <w:tab w:val="left" w:pos="2155"/>
          <w:tab w:val="left" w:pos="9242"/>
        </w:tabs>
        <w:jc w:val="lowKashida"/>
        <w:rPr>
          <w:b/>
          <w:bCs/>
          <w:sz w:val="24"/>
          <w:szCs w:val="24"/>
        </w:rPr>
      </w:pPr>
      <w:r>
        <w:rPr>
          <w:b/>
          <w:bCs/>
          <w:sz w:val="24"/>
          <w:szCs w:val="24"/>
        </w:rPr>
        <w:t>Yesha Council:</w:t>
      </w:r>
    </w:p>
    <w:p w:rsidR="005E1E3C" w:rsidRDefault="005E1E3C" w:rsidP="005E1E3C">
      <w:pPr>
        <w:tabs>
          <w:tab w:val="left" w:pos="2155"/>
          <w:tab w:val="left" w:pos="9242"/>
        </w:tabs>
        <w:jc w:val="lowKashida"/>
        <w:rPr>
          <w:sz w:val="24"/>
          <w:szCs w:val="24"/>
          <w:lang w:val="en-GB"/>
        </w:rPr>
      </w:pPr>
      <w:r>
        <w:rPr>
          <w:sz w:val="24"/>
          <w:szCs w:val="24"/>
        </w:rPr>
        <w:t>It refers to the council that represents settlers in the West Bank except that part of Jerusalem which was forcefully Annexed by Israel following its occupation of the West Bank in 1967. Yesha is also the representing body of a number of regional councils.</w:t>
      </w:r>
    </w:p>
    <w:p w:rsidR="005E1E3C" w:rsidRPr="00D30BD4" w:rsidRDefault="005E1E3C" w:rsidP="005E1E3C">
      <w:pPr>
        <w:tabs>
          <w:tab w:val="left" w:pos="2155"/>
          <w:tab w:val="left" w:pos="9242"/>
        </w:tabs>
        <w:jc w:val="lowKashida"/>
        <w:rPr>
          <w:b/>
          <w:bCs/>
          <w:sz w:val="18"/>
          <w:szCs w:val="18"/>
        </w:rPr>
      </w:pPr>
      <w:r w:rsidRPr="00D30BD4">
        <w:rPr>
          <w:b/>
          <w:bCs/>
          <w:sz w:val="18"/>
          <w:szCs w:val="18"/>
        </w:rPr>
        <w:tab/>
      </w:r>
    </w:p>
    <w:p w:rsidR="005E1E3C" w:rsidRDefault="005E1E3C" w:rsidP="005E1E3C">
      <w:pPr>
        <w:tabs>
          <w:tab w:val="left" w:pos="2155"/>
          <w:tab w:val="left" w:pos="9242"/>
        </w:tabs>
        <w:jc w:val="lowKashida"/>
        <w:rPr>
          <w:rStyle w:val="LatinChar0"/>
          <w:b/>
          <w:bCs/>
          <w:lang w:val="en-GB" w:eastAsia="en-GB"/>
        </w:rPr>
      </w:pPr>
      <w:r>
        <w:rPr>
          <w:rStyle w:val="LatinChar0"/>
          <w:b/>
          <w:bCs/>
          <w:sz w:val="24"/>
          <w:szCs w:val="24"/>
          <w:lang w:val="en-GB" w:eastAsia="en-GB"/>
        </w:rPr>
        <w:t xml:space="preserve">Regional Council:  </w:t>
      </w:r>
    </w:p>
    <w:p w:rsidR="005E1E3C" w:rsidRDefault="005E1E3C" w:rsidP="005E1E3C">
      <w:pPr>
        <w:tabs>
          <w:tab w:val="left" w:pos="2155"/>
          <w:tab w:val="left" w:pos="9242"/>
        </w:tabs>
        <w:jc w:val="lowKashida"/>
        <w:rPr>
          <w:sz w:val="24"/>
          <w:szCs w:val="24"/>
        </w:rPr>
      </w:pPr>
      <w:r>
        <w:rPr>
          <w:sz w:val="24"/>
          <w:szCs w:val="24"/>
        </w:rPr>
        <w:t>It’s an administrative authority representing a number of settlements.</w:t>
      </w:r>
    </w:p>
    <w:p w:rsidR="005E1E3C" w:rsidRPr="00D30BD4" w:rsidRDefault="005E1E3C" w:rsidP="005E1E3C">
      <w:pPr>
        <w:tabs>
          <w:tab w:val="left" w:pos="2155"/>
          <w:tab w:val="left" w:pos="9242"/>
        </w:tabs>
        <w:jc w:val="lowKashida"/>
        <w:rPr>
          <w:b/>
          <w:bCs/>
          <w:sz w:val="18"/>
          <w:szCs w:val="18"/>
        </w:rPr>
      </w:pPr>
      <w:r w:rsidRPr="00D30BD4">
        <w:rPr>
          <w:b/>
          <w:bCs/>
          <w:sz w:val="18"/>
          <w:szCs w:val="18"/>
        </w:rPr>
        <w:tab/>
      </w:r>
    </w:p>
    <w:p w:rsidR="005E1E3C" w:rsidRDefault="005E1E3C" w:rsidP="005E1E3C">
      <w:pPr>
        <w:tabs>
          <w:tab w:val="left" w:pos="2155"/>
          <w:tab w:val="left" w:pos="9242"/>
        </w:tabs>
        <w:jc w:val="lowKashida"/>
        <w:rPr>
          <w:b/>
          <w:bCs/>
          <w:sz w:val="24"/>
          <w:szCs w:val="24"/>
        </w:rPr>
      </w:pPr>
      <w:r>
        <w:rPr>
          <w:b/>
          <w:bCs/>
          <w:sz w:val="24"/>
          <w:szCs w:val="24"/>
        </w:rPr>
        <w:t>Built –Up land in the Occupation Site:</w:t>
      </w:r>
    </w:p>
    <w:p w:rsidR="005E1E3C" w:rsidRDefault="005E1E3C" w:rsidP="005E1E3C">
      <w:pPr>
        <w:tabs>
          <w:tab w:val="left" w:pos="2155"/>
          <w:tab w:val="left" w:pos="9242"/>
        </w:tabs>
        <w:jc w:val="lowKashida"/>
        <w:rPr>
          <w:sz w:val="24"/>
          <w:szCs w:val="24"/>
        </w:rPr>
      </w:pPr>
      <w:r>
        <w:rPr>
          <w:sz w:val="24"/>
          <w:szCs w:val="24"/>
        </w:rPr>
        <w:t>It refers to all areas of human activity within a settlement including built-up areas, service facilities, public parks, squares, and roads. It excludes any land that is planned for construction according to the structural plan of the occupation site or confiscated land to be annexed later to the occupation site.</w:t>
      </w:r>
    </w:p>
    <w:p w:rsidR="005E1E3C" w:rsidRPr="00D30BD4" w:rsidRDefault="005E1E3C" w:rsidP="005E1E3C">
      <w:pPr>
        <w:tabs>
          <w:tab w:val="left" w:pos="2155"/>
          <w:tab w:val="left" w:pos="9242"/>
        </w:tabs>
        <w:jc w:val="lowKashida"/>
        <w:rPr>
          <w:b/>
          <w:bCs/>
          <w:sz w:val="18"/>
          <w:szCs w:val="18"/>
        </w:rPr>
      </w:pPr>
      <w:r w:rsidRPr="00D30BD4">
        <w:rPr>
          <w:b/>
          <w:bCs/>
          <w:sz w:val="18"/>
          <w:szCs w:val="18"/>
        </w:rPr>
        <w:tab/>
      </w:r>
    </w:p>
    <w:p w:rsidR="005E1E3C" w:rsidRDefault="005E1E3C" w:rsidP="005E1E3C">
      <w:pPr>
        <w:tabs>
          <w:tab w:val="left" w:pos="2155"/>
          <w:tab w:val="left" w:pos="9242"/>
        </w:tabs>
        <w:jc w:val="lowKashida"/>
        <w:rPr>
          <w:b/>
          <w:bCs/>
          <w:sz w:val="24"/>
          <w:szCs w:val="24"/>
        </w:rPr>
      </w:pPr>
      <w:r>
        <w:rPr>
          <w:rFonts w:cs="Times New Roman"/>
          <w:b/>
          <w:bCs/>
          <w:sz w:val="24"/>
          <w:szCs w:val="24"/>
        </w:rPr>
        <w:t xml:space="preserve">Urban Settlement:  </w:t>
      </w:r>
    </w:p>
    <w:p w:rsidR="005E1E3C" w:rsidRDefault="005E1E3C" w:rsidP="005E1E3C">
      <w:pPr>
        <w:tabs>
          <w:tab w:val="left" w:pos="2155"/>
          <w:tab w:val="left" w:pos="9242"/>
        </w:tabs>
        <w:jc w:val="lowKashida"/>
        <w:rPr>
          <w:sz w:val="24"/>
          <w:szCs w:val="24"/>
        </w:rPr>
      </w:pPr>
      <w:r>
        <w:rPr>
          <w:sz w:val="24"/>
          <w:szCs w:val="24"/>
        </w:rPr>
        <w:t>It’s a settlement that has 2000 or more inhabitants, beside those settlements located inside Jerusalem area (J1), which are classified as urban settlements regardless of the number of population.</w:t>
      </w:r>
    </w:p>
    <w:p w:rsidR="005E1E3C" w:rsidRPr="00D30BD4" w:rsidRDefault="005E1E3C" w:rsidP="005E1E3C">
      <w:pPr>
        <w:tabs>
          <w:tab w:val="left" w:pos="2155"/>
          <w:tab w:val="left" w:pos="9242"/>
        </w:tabs>
        <w:jc w:val="lowKashida"/>
        <w:rPr>
          <w:b/>
          <w:bCs/>
          <w:sz w:val="18"/>
          <w:szCs w:val="18"/>
        </w:rPr>
      </w:pPr>
      <w:r w:rsidRPr="00D30BD4">
        <w:rPr>
          <w:b/>
          <w:bCs/>
          <w:sz w:val="18"/>
          <w:szCs w:val="18"/>
        </w:rPr>
        <w:tab/>
      </w:r>
    </w:p>
    <w:p w:rsidR="005E1E3C" w:rsidRDefault="005E1E3C" w:rsidP="005E1E3C">
      <w:pPr>
        <w:tabs>
          <w:tab w:val="left" w:pos="2155"/>
          <w:tab w:val="left" w:pos="9242"/>
        </w:tabs>
        <w:jc w:val="lowKashida"/>
        <w:rPr>
          <w:sz w:val="24"/>
          <w:szCs w:val="24"/>
          <w:lang w:val="en-GB"/>
        </w:rPr>
      </w:pPr>
      <w:r>
        <w:rPr>
          <w:b/>
          <w:bCs/>
          <w:sz w:val="24"/>
          <w:szCs w:val="24"/>
        </w:rPr>
        <w:t>Rural Settlement:</w:t>
      </w:r>
      <w:r>
        <w:rPr>
          <w:sz w:val="24"/>
          <w:szCs w:val="24"/>
          <w:rtl/>
          <w:lang w:val="en-GB"/>
        </w:rPr>
        <w:tab/>
      </w:r>
    </w:p>
    <w:p w:rsidR="005E1E3C" w:rsidRDefault="005E1E3C" w:rsidP="005E1E3C">
      <w:pPr>
        <w:tabs>
          <w:tab w:val="left" w:pos="2155"/>
          <w:tab w:val="left" w:pos="9242"/>
        </w:tabs>
        <w:jc w:val="lowKashida"/>
        <w:rPr>
          <w:sz w:val="24"/>
          <w:szCs w:val="24"/>
        </w:rPr>
      </w:pPr>
      <w:r>
        <w:rPr>
          <w:sz w:val="24"/>
          <w:szCs w:val="24"/>
        </w:rPr>
        <w:t>It’s a settlement that has less than 2,000 inhabitants, also includes agricultural localities,  excluding settlements located inside Jerusalem area (J1), which are classified as urban settlements regardless of the number of population.</w:t>
      </w:r>
    </w:p>
    <w:p w:rsidR="007E53F5" w:rsidRPr="00D30BD4" w:rsidRDefault="007E53F5" w:rsidP="005E1E3C">
      <w:pPr>
        <w:tabs>
          <w:tab w:val="left" w:pos="2155"/>
          <w:tab w:val="left" w:pos="9242"/>
        </w:tabs>
        <w:jc w:val="lowKashida"/>
        <w:rPr>
          <w:b/>
          <w:bCs/>
          <w:sz w:val="18"/>
          <w:szCs w:val="18"/>
        </w:rPr>
      </w:pPr>
    </w:p>
    <w:p w:rsidR="005E1E3C" w:rsidRDefault="005E1E3C" w:rsidP="005E1E3C">
      <w:pPr>
        <w:tabs>
          <w:tab w:val="left" w:pos="2155"/>
          <w:tab w:val="left" w:pos="9242"/>
        </w:tabs>
        <w:jc w:val="lowKashida"/>
        <w:rPr>
          <w:sz w:val="24"/>
          <w:szCs w:val="24"/>
          <w:lang w:val="en-GB"/>
        </w:rPr>
      </w:pPr>
      <w:r>
        <w:rPr>
          <w:b/>
          <w:bCs/>
          <w:sz w:val="24"/>
          <w:szCs w:val="24"/>
        </w:rPr>
        <w:t>Moshav:</w:t>
      </w:r>
      <w:r>
        <w:rPr>
          <w:sz w:val="24"/>
          <w:szCs w:val="24"/>
          <w:rtl/>
          <w:lang w:val="en-GB"/>
        </w:rPr>
        <w:tab/>
      </w:r>
    </w:p>
    <w:p w:rsidR="005E1E3C" w:rsidRDefault="005E1E3C" w:rsidP="005E1E3C">
      <w:pPr>
        <w:tabs>
          <w:tab w:val="left" w:pos="2155"/>
          <w:tab w:val="left" w:pos="9242"/>
        </w:tabs>
        <w:jc w:val="lowKashida"/>
        <w:rPr>
          <w:sz w:val="24"/>
          <w:szCs w:val="24"/>
        </w:rPr>
      </w:pPr>
      <w:r>
        <w:rPr>
          <w:sz w:val="24"/>
          <w:szCs w:val="24"/>
        </w:rPr>
        <w:t xml:space="preserve">It refers to the rural settlement organized as a cooperative association, which has the right to agricultural farmland (as defined by the Israel Lands Administration). These settlements consist of family units, each of which is an independent economic entity. Part of the </w:t>
      </w:r>
      <w:r>
        <w:rPr>
          <w:sz w:val="24"/>
          <w:szCs w:val="24"/>
        </w:rPr>
        <w:lastRenderedPageBreak/>
        <w:t>production and economic administration of the moshav is handled by the cooperative association, and the residents determine the degree of cooperation.</w:t>
      </w:r>
    </w:p>
    <w:p w:rsidR="005E1E3C" w:rsidRPr="00D30BD4" w:rsidRDefault="005E1E3C" w:rsidP="005E1E3C">
      <w:pPr>
        <w:tabs>
          <w:tab w:val="left" w:pos="2155"/>
          <w:tab w:val="left" w:pos="9242"/>
        </w:tabs>
        <w:jc w:val="lowKashida"/>
        <w:rPr>
          <w:b/>
          <w:bCs/>
          <w:sz w:val="18"/>
          <w:szCs w:val="18"/>
        </w:rPr>
      </w:pPr>
    </w:p>
    <w:p w:rsidR="005E1E3C" w:rsidRDefault="005E1E3C" w:rsidP="005E1E3C">
      <w:pPr>
        <w:tabs>
          <w:tab w:val="left" w:pos="2155"/>
          <w:tab w:val="left" w:pos="9242"/>
        </w:tabs>
        <w:jc w:val="lowKashida"/>
        <w:rPr>
          <w:sz w:val="24"/>
          <w:szCs w:val="24"/>
          <w:lang w:val="en-GB"/>
        </w:rPr>
      </w:pPr>
      <w:r>
        <w:rPr>
          <w:b/>
          <w:bCs/>
          <w:sz w:val="24"/>
          <w:szCs w:val="24"/>
        </w:rPr>
        <w:t>Collective Moshav:</w:t>
      </w:r>
    </w:p>
    <w:p w:rsidR="005E1E3C" w:rsidRDefault="005E1E3C" w:rsidP="005E1E3C">
      <w:pPr>
        <w:tabs>
          <w:tab w:val="left" w:pos="2155"/>
          <w:tab w:val="left" w:pos="9242"/>
        </w:tabs>
        <w:jc w:val="lowKashida"/>
        <w:rPr>
          <w:sz w:val="24"/>
          <w:szCs w:val="24"/>
        </w:rPr>
      </w:pPr>
      <w:r>
        <w:rPr>
          <w:sz w:val="24"/>
          <w:szCs w:val="24"/>
        </w:rPr>
        <w:t>It refers to a collective rural settlement where production and marketing are cooperative and consumption is private.</w:t>
      </w:r>
    </w:p>
    <w:p w:rsidR="005E1E3C" w:rsidRPr="00D30BD4" w:rsidRDefault="005E1E3C" w:rsidP="005E1E3C">
      <w:pPr>
        <w:tabs>
          <w:tab w:val="left" w:pos="2155"/>
          <w:tab w:val="left" w:pos="9242"/>
        </w:tabs>
        <w:jc w:val="lowKashida"/>
        <w:rPr>
          <w:b/>
          <w:bCs/>
          <w:sz w:val="18"/>
          <w:szCs w:val="18"/>
        </w:rPr>
      </w:pPr>
      <w:r w:rsidRPr="00D30BD4">
        <w:rPr>
          <w:b/>
          <w:bCs/>
          <w:sz w:val="18"/>
          <w:szCs w:val="18"/>
        </w:rPr>
        <w:tab/>
      </w:r>
    </w:p>
    <w:p w:rsidR="005E1E3C" w:rsidRDefault="005E1E3C" w:rsidP="005E1E3C">
      <w:pPr>
        <w:tabs>
          <w:tab w:val="left" w:pos="2155"/>
          <w:tab w:val="left" w:pos="9242"/>
        </w:tabs>
        <w:jc w:val="lowKashida"/>
        <w:rPr>
          <w:b/>
          <w:bCs/>
          <w:sz w:val="24"/>
          <w:szCs w:val="24"/>
        </w:rPr>
      </w:pPr>
      <w:r>
        <w:rPr>
          <w:b/>
          <w:bCs/>
          <w:sz w:val="24"/>
          <w:szCs w:val="24"/>
        </w:rPr>
        <w:t>Kibbutz:</w:t>
      </w:r>
      <w:r>
        <w:rPr>
          <w:b/>
          <w:bCs/>
          <w:sz w:val="24"/>
          <w:szCs w:val="24"/>
        </w:rPr>
        <w:tab/>
      </w:r>
    </w:p>
    <w:p w:rsidR="005E1E3C" w:rsidRDefault="005E1E3C" w:rsidP="005E1E3C">
      <w:pPr>
        <w:tabs>
          <w:tab w:val="left" w:pos="2155"/>
          <w:tab w:val="left" w:pos="9242"/>
        </w:tabs>
        <w:jc w:val="lowKashida"/>
        <w:rPr>
          <w:sz w:val="24"/>
          <w:szCs w:val="24"/>
        </w:rPr>
      </w:pPr>
      <w:r>
        <w:rPr>
          <w:sz w:val="24"/>
          <w:szCs w:val="24"/>
        </w:rPr>
        <w:t>It refers to a collective rural settlement with cooperative production, marketing, and consumption.</w:t>
      </w:r>
    </w:p>
    <w:p w:rsidR="005E1E3C" w:rsidRPr="00D30BD4" w:rsidRDefault="005E1E3C" w:rsidP="005E1E3C">
      <w:pPr>
        <w:tabs>
          <w:tab w:val="left" w:pos="2155"/>
          <w:tab w:val="left" w:pos="9242"/>
        </w:tabs>
        <w:jc w:val="lowKashida"/>
        <w:rPr>
          <w:b/>
          <w:bCs/>
          <w:sz w:val="18"/>
          <w:szCs w:val="18"/>
        </w:rPr>
      </w:pPr>
      <w:r w:rsidRPr="00D30BD4">
        <w:rPr>
          <w:b/>
          <w:bCs/>
          <w:sz w:val="18"/>
          <w:szCs w:val="18"/>
        </w:rPr>
        <w:tab/>
      </w:r>
    </w:p>
    <w:p w:rsidR="005E1E3C" w:rsidRDefault="005E1E3C" w:rsidP="005E1E3C">
      <w:pPr>
        <w:tabs>
          <w:tab w:val="left" w:pos="2155"/>
          <w:tab w:val="left" w:pos="9242"/>
        </w:tabs>
        <w:jc w:val="lowKashida"/>
        <w:rPr>
          <w:b/>
          <w:bCs/>
          <w:sz w:val="24"/>
          <w:szCs w:val="24"/>
        </w:rPr>
      </w:pPr>
      <w:r>
        <w:rPr>
          <w:b/>
          <w:bCs/>
          <w:sz w:val="24"/>
          <w:szCs w:val="24"/>
        </w:rPr>
        <w:t>Institutional Settlement:</w:t>
      </w:r>
      <w:r>
        <w:rPr>
          <w:b/>
          <w:bCs/>
          <w:sz w:val="24"/>
          <w:szCs w:val="24"/>
        </w:rPr>
        <w:tab/>
      </w:r>
    </w:p>
    <w:p w:rsidR="005E1E3C" w:rsidRDefault="005E1E3C" w:rsidP="005E1E3C">
      <w:pPr>
        <w:tabs>
          <w:tab w:val="left" w:pos="2155"/>
          <w:tab w:val="left" w:pos="9242"/>
        </w:tabs>
        <w:jc w:val="lowKashida"/>
        <w:rPr>
          <w:sz w:val="24"/>
          <w:szCs w:val="24"/>
        </w:rPr>
      </w:pPr>
      <w:r>
        <w:rPr>
          <w:sz w:val="24"/>
          <w:szCs w:val="24"/>
        </w:rPr>
        <w:t>It refers to an institution, which has the characteristics of a settlement but is not within the administrative boundaries of another settlement.</w:t>
      </w:r>
    </w:p>
    <w:p w:rsidR="005E1E3C" w:rsidRPr="00D30BD4" w:rsidRDefault="005E1E3C" w:rsidP="005E1E3C">
      <w:pPr>
        <w:tabs>
          <w:tab w:val="left" w:pos="2155"/>
          <w:tab w:val="left" w:pos="9242"/>
        </w:tabs>
        <w:jc w:val="lowKashida"/>
        <w:rPr>
          <w:b/>
          <w:bCs/>
          <w:sz w:val="18"/>
          <w:szCs w:val="18"/>
        </w:rPr>
      </w:pPr>
      <w:r w:rsidRPr="00D30BD4">
        <w:rPr>
          <w:b/>
          <w:bCs/>
          <w:sz w:val="18"/>
          <w:szCs w:val="18"/>
        </w:rPr>
        <w:tab/>
      </w:r>
    </w:p>
    <w:p w:rsidR="005E1E3C" w:rsidRDefault="005E1E3C" w:rsidP="005E1E3C">
      <w:pPr>
        <w:tabs>
          <w:tab w:val="left" w:pos="2155"/>
          <w:tab w:val="left" w:pos="9242"/>
        </w:tabs>
        <w:jc w:val="lowKashida"/>
        <w:rPr>
          <w:b/>
          <w:bCs/>
          <w:sz w:val="24"/>
          <w:szCs w:val="24"/>
        </w:rPr>
      </w:pPr>
      <w:r>
        <w:rPr>
          <w:b/>
          <w:bCs/>
          <w:sz w:val="24"/>
          <w:szCs w:val="24"/>
        </w:rPr>
        <w:t>Communal Settlement:</w:t>
      </w:r>
      <w:r>
        <w:rPr>
          <w:b/>
          <w:bCs/>
          <w:sz w:val="24"/>
          <w:szCs w:val="24"/>
        </w:rPr>
        <w:tab/>
      </w:r>
    </w:p>
    <w:p w:rsidR="005E1E3C" w:rsidRDefault="005E1E3C" w:rsidP="005E1E3C">
      <w:pPr>
        <w:tabs>
          <w:tab w:val="left" w:pos="2155"/>
          <w:tab w:val="left" w:pos="9242"/>
        </w:tabs>
        <w:jc w:val="lowKashida"/>
        <w:rPr>
          <w:sz w:val="24"/>
          <w:szCs w:val="24"/>
        </w:rPr>
      </w:pPr>
      <w:r>
        <w:rPr>
          <w:sz w:val="24"/>
          <w:szCs w:val="24"/>
        </w:rPr>
        <w:t>It refers to a settlement organized as a cooperative association, which has no right to farmland and its members determine the extent of its cooperative activities concerning production, consumption, municipal, and social activities.</w:t>
      </w:r>
    </w:p>
    <w:p w:rsidR="005E1E3C" w:rsidRPr="00D30BD4" w:rsidRDefault="005E1E3C" w:rsidP="005E1E3C">
      <w:pPr>
        <w:tabs>
          <w:tab w:val="left" w:pos="2155"/>
          <w:tab w:val="left" w:pos="9242"/>
        </w:tabs>
        <w:jc w:val="lowKashida"/>
        <w:rPr>
          <w:b/>
          <w:bCs/>
          <w:sz w:val="18"/>
          <w:szCs w:val="18"/>
        </w:rPr>
      </w:pPr>
      <w:r w:rsidRPr="00D30BD4">
        <w:rPr>
          <w:b/>
          <w:bCs/>
          <w:sz w:val="18"/>
          <w:szCs w:val="18"/>
        </w:rPr>
        <w:tab/>
      </w:r>
    </w:p>
    <w:p w:rsidR="005E1E3C" w:rsidRDefault="005E1E3C" w:rsidP="005E1E3C">
      <w:pPr>
        <w:tabs>
          <w:tab w:val="left" w:pos="2155"/>
          <w:tab w:val="left" w:pos="9242"/>
        </w:tabs>
        <w:jc w:val="lowKashida"/>
        <w:rPr>
          <w:b/>
          <w:bCs/>
          <w:sz w:val="24"/>
          <w:szCs w:val="24"/>
        </w:rPr>
      </w:pPr>
      <w:r>
        <w:rPr>
          <w:b/>
          <w:bCs/>
          <w:sz w:val="24"/>
          <w:szCs w:val="24"/>
        </w:rPr>
        <w:t>Other Rural Settlement:</w:t>
      </w:r>
      <w:r>
        <w:rPr>
          <w:b/>
          <w:bCs/>
          <w:sz w:val="24"/>
          <w:szCs w:val="24"/>
        </w:rPr>
        <w:tab/>
      </w:r>
    </w:p>
    <w:p w:rsidR="005E1E3C" w:rsidRDefault="005E1E3C" w:rsidP="005E1E3C">
      <w:pPr>
        <w:tabs>
          <w:tab w:val="left" w:pos="2155"/>
          <w:tab w:val="left" w:pos="9242"/>
        </w:tabs>
        <w:jc w:val="lowKashida"/>
        <w:rPr>
          <w:sz w:val="24"/>
          <w:szCs w:val="24"/>
        </w:rPr>
      </w:pPr>
      <w:r>
        <w:rPr>
          <w:sz w:val="24"/>
          <w:szCs w:val="24"/>
        </w:rPr>
        <w:t>It’s a settlement that has less than 2,000 inhabitants and not found in any type of the settlements above.</w:t>
      </w:r>
    </w:p>
    <w:p w:rsidR="005E1E3C" w:rsidRPr="00D30BD4" w:rsidRDefault="005E1E3C" w:rsidP="005E1E3C">
      <w:pPr>
        <w:tabs>
          <w:tab w:val="left" w:pos="2155"/>
          <w:tab w:val="left" w:pos="9242"/>
        </w:tabs>
        <w:jc w:val="lowKashida"/>
        <w:rPr>
          <w:b/>
          <w:bCs/>
          <w:sz w:val="18"/>
          <w:szCs w:val="18"/>
        </w:rPr>
      </w:pPr>
      <w:r w:rsidRPr="00D30BD4">
        <w:rPr>
          <w:b/>
          <w:bCs/>
          <w:sz w:val="18"/>
          <w:szCs w:val="18"/>
        </w:rPr>
        <w:tab/>
      </w:r>
    </w:p>
    <w:p w:rsidR="005E1E3C" w:rsidRDefault="005E1E3C" w:rsidP="005E1E3C">
      <w:pPr>
        <w:pStyle w:val="BodyText"/>
        <w:rPr>
          <w:b/>
          <w:bCs/>
          <w:szCs w:val="24"/>
        </w:rPr>
      </w:pPr>
      <w:r>
        <w:rPr>
          <w:b/>
          <w:bCs/>
          <w:szCs w:val="24"/>
        </w:rPr>
        <w:t>Geographical Dispersion:</w:t>
      </w:r>
    </w:p>
    <w:p w:rsidR="005E1E3C" w:rsidRDefault="005E1E3C" w:rsidP="005E1E3C">
      <w:pPr>
        <w:pStyle w:val="BodyText"/>
        <w:rPr>
          <w:szCs w:val="24"/>
        </w:rPr>
      </w:pPr>
      <w:r>
        <w:rPr>
          <w:szCs w:val="24"/>
        </w:rPr>
        <w:t xml:space="preserve">This classification divides the West Bank into four areas (strips): the mountain strip, the western hills strip, and greater Jerusalem strip.  </w:t>
      </w:r>
    </w:p>
    <w:p w:rsidR="005E1E3C" w:rsidRPr="00D30BD4" w:rsidRDefault="005E1E3C" w:rsidP="00D30BD4">
      <w:pPr>
        <w:tabs>
          <w:tab w:val="left" w:pos="2155"/>
          <w:tab w:val="left" w:pos="9242"/>
        </w:tabs>
        <w:jc w:val="lowKashida"/>
        <w:rPr>
          <w:b/>
          <w:bCs/>
          <w:sz w:val="18"/>
          <w:szCs w:val="18"/>
        </w:rPr>
      </w:pPr>
    </w:p>
    <w:p w:rsidR="005E1E3C" w:rsidRDefault="005E1E3C" w:rsidP="005E1E3C">
      <w:pPr>
        <w:jc w:val="lowKashida"/>
        <w:rPr>
          <w:sz w:val="24"/>
          <w:szCs w:val="24"/>
        </w:rPr>
      </w:pPr>
      <w:r>
        <w:rPr>
          <w:sz w:val="24"/>
          <w:szCs w:val="24"/>
        </w:rPr>
        <w:t xml:space="preserve">Each area includes settlements that share certain similarities in terms of topography, proximity to Palestinian communities and main roads, economic infrastructure, the composition of the population, distance from the Green Line, and other similarities. </w:t>
      </w:r>
    </w:p>
    <w:p w:rsidR="005E1E3C" w:rsidRPr="00D30BD4" w:rsidRDefault="005E1E3C" w:rsidP="00D30BD4">
      <w:pPr>
        <w:tabs>
          <w:tab w:val="left" w:pos="2155"/>
          <w:tab w:val="left" w:pos="9242"/>
        </w:tabs>
        <w:jc w:val="lowKashida"/>
        <w:rPr>
          <w:b/>
          <w:bCs/>
          <w:sz w:val="18"/>
          <w:szCs w:val="18"/>
        </w:rPr>
      </w:pPr>
    </w:p>
    <w:p w:rsidR="005E1E3C" w:rsidRDefault="005E1E3C" w:rsidP="005E1E3C">
      <w:pPr>
        <w:jc w:val="lowKashida"/>
        <w:rPr>
          <w:sz w:val="24"/>
          <w:szCs w:val="24"/>
        </w:rPr>
      </w:pPr>
      <w:r>
        <w:rPr>
          <w:sz w:val="24"/>
          <w:szCs w:val="24"/>
        </w:rPr>
        <w:t xml:space="preserve">The Eastern Strip:  includes the Jordan Valley area and the shores of the Dead Sea (outside the Green Line), as well as the eastern slopes of the mountain range that divides the entire West Bank from north to south. </w:t>
      </w:r>
    </w:p>
    <w:p w:rsidR="005E1E3C" w:rsidRPr="00D30BD4" w:rsidRDefault="005E1E3C" w:rsidP="00D30BD4">
      <w:pPr>
        <w:tabs>
          <w:tab w:val="left" w:pos="2155"/>
          <w:tab w:val="left" w:pos="9242"/>
        </w:tabs>
        <w:jc w:val="lowKashida"/>
        <w:rPr>
          <w:b/>
          <w:bCs/>
          <w:sz w:val="18"/>
          <w:szCs w:val="18"/>
        </w:rPr>
      </w:pPr>
    </w:p>
    <w:p w:rsidR="005E1E3C" w:rsidRDefault="005E1E3C" w:rsidP="005E1E3C">
      <w:pPr>
        <w:jc w:val="lowKashida"/>
        <w:rPr>
          <w:sz w:val="24"/>
          <w:szCs w:val="24"/>
        </w:rPr>
      </w:pPr>
      <w:r>
        <w:rPr>
          <w:sz w:val="24"/>
          <w:szCs w:val="24"/>
        </w:rPr>
        <w:t xml:space="preserve">The Mountain Strip:  the area on or adjacent to the peaks of the mountain range. This area is also known as the watershed line or the mountain-peak area. </w:t>
      </w:r>
    </w:p>
    <w:p w:rsidR="005E1E3C" w:rsidRPr="00D30BD4" w:rsidRDefault="005E1E3C" w:rsidP="00D30BD4">
      <w:pPr>
        <w:tabs>
          <w:tab w:val="left" w:pos="2155"/>
          <w:tab w:val="left" w:pos="9242"/>
        </w:tabs>
        <w:jc w:val="lowKashida"/>
        <w:rPr>
          <w:b/>
          <w:bCs/>
          <w:sz w:val="18"/>
          <w:szCs w:val="18"/>
        </w:rPr>
      </w:pPr>
    </w:p>
    <w:p w:rsidR="005E1E3C" w:rsidRDefault="005E1E3C" w:rsidP="005E1E3C">
      <w:pPr>
        <w:jc w:val="lowKashida"/>
        <w:rPr>
          <w:sz w:val="24"/>
          <w:szCs w:val="24"/>
        </w:rPr>
      </w:pPr>
      <w:r>
        <w:rPr>
          <w:sz w:val="24"/>
          <w:szCs w:val="24"/>
        </w:rPr>
        <w:t>The Western Hills Strip:  includes the western slopes of the mountain range, and extends to the Green Line to the west.</w:t>
      </w:r>
    </w:p>
    <w:p w:rsidR="005E1E3C" w:rsidRPr="00D30BD4" w:rsidRDefault="005E1E3C" w:rsidP="00D30BD4">
      <w:pPr>
        <w:tabs>
          <w:tab w:val="left" w:pos="2155"/>
          <w:tab w:val="left" w:pos="9242"/>
        </w:tabs>
        <w:jc w:val="lowKashida"/>
        <w:rPr>
          <w:b/>
          <w:bCs/>
          <w:sz w:val="18"/>
          <w:szCs w:val="18"/>
        </w:rPr>
      </w:pPr>
    </w:p>
    <w:p w:rsidR="005E1E3C" w:rsidRDefault="005E1E3C" w:rsidP="005E1E3C">
      <w:pPr>
        <w:jc w:val="lowKashida"/>
        <w:rPr>
          <w:sz w:val="24"/>
          <w:szCs w:val="24"/>
        </w:rPr>
      </w:pPr>
      <w:r>
        <w:rPr>
          <w:sz w:val="24"/>
          <w:szCs w:val="24"/>
        </w:rPr>
        <w:t>Greater Jerusalem Strip:  this area extends across a wide radius around West Jerusalem. Although in purely geographical terms this area lies mainly in the Mountain Strip, it has unique characteristics that demand separate attention.</w:t>
      </w:r>
    </w:p>
    <w:p w:rsidR="007E53F5" w:rsidRPr="00D30BD4" w:rsidRDefault="007E53F5" w:rsidP="00D30BD4">
      <w:pPr>
        <w:tabs>
          <w:tab w:val="left" w:pos="2155"/>
          <w:tab w:val="left" w:pos="9242"/>
        </w:tabs>
        <w:jc w:val="lowKashida"/>
        <w:rPr>
          <w:b/>
          <w:bCs/>
          <w:sz w:val="18"/>
          <w:szCs w:val="18"/>
        </w:rPr>
      </w:pPr>
    </w:p>
    <w:p w:rsidR="005E1E3C" w:rsidRDefault="005E1E3C" w:rsidP="005E1E3C">
      <w:pPr>
        <w:pStyle w:val="TxBrp3"/>
        <w:tabs>
          <w:tab w:val="clear" w:pos="1116"/>
          <w:tab w:val="left" w:pos="2155"/>
          <w:tab w:val="left" w:pos="9242"/>
        </w:tabs>
        <w:spacing w:line="283" w:lineRule="exact"/>
        <w:ind w:left="0"/>
        <w:jc w:val="lowKashida"/>
        <w:rPr>
          <w:b/>
          <w:bCs/>
          <w:noProof w:val="0"/>
          <w:sz w:val="24"/>
        </w:rPr>
      </w:pPr>
      <w:r>
        <w:rPr>
          <w:b/>
          <w:bCs/>
          <w:sz w:val="24"/>
        </w:rPr>
        <w:t>Average altitude (Meters):</w:t>
      </w:r>
      <w:r>
        <w:rPr>
          <w:b/>
          <w:bCs/>
          <w:noProof w:val="0"/>
          <w:sz w:val="24"/>
        </w:rPr>
        <w:tab/>
      </w:r>
    </w:p>
    <w:p w:rsidR="005E1E3C" w:rsidRDefault="005E1E3C" w:rsidP="005E1E3C">
      <w:pPr>
        <w:jc w:val="lowKashida"/>
        <w:rPr>
          <w:sz w:val="24"/>
          <w:szCs w:val="24"/>
        </w:rPr>
      </w:pPr>
      <w:r>
        <w:rPr>
          <w:sz w:val="24"/>
          <w:szCs w:val="24"/>
        </w:rPr>
        <w:t>The average height of land above the level of the Sea (meter) in relation to main population center.</w:t>
      </w:r>
    </w:p>
    <w:p w:rsidR="002F175E" w:rsidRPr="002F175E" w:rsidRDefault="002F175E" w:rsidP="005E1E3C">
      <w:pPr>
        <w:pStyle w:val="TxBrp3"/>
        <w:tabs>
          <w:tab w:val="clear" w:pos="1116"/>
          <w:tab w:val="left" w:pos="2155"/>
          <w:tab w:val="left" w:pos="9242"/>
        </w:tabs>
        <w:spacing w:line="283" w:lineRule="exact"/>
        <w:ind w:left="0"/>
        <w:jc w:val="lowKashida"/>
        <w:rPr>
          <w:b/>
          <w:bCs/>
          <w:sz w:val="18"/>
          <w:szCs w:val="18"/>
        </w:rPr>
      </w:pPr>
    </w:p>
    <w:p w:rsidR="005E1E3C" w:rsidRDefault="005E1E3C" w:rsidP="005E1E3C">
      <w:pPr>
        <w:pStyle w:val="TxBrp3"/>
        <w:tabs>
          <w:tab w:val="clear" w:pos="1116"/>
          <w:tab w:val="left" w:pos="2155"/>
          <w:tab w:val="left" w:pos="9242"/>
        </w:tabs>
        <w:spacing w:line="283" w:lineRule="exact"/>
        <w:ind w:left="0"/>
        <w:jc w:val="lowKashida"/>
        <w:rPr>
          <w:rFonts w:cs="Times New Roman"/>
          <w:b/>
          <w:bCs/>
          <w:noProof w:val="0"/>
          <w:sz w:val="24"/>
          <w:lang w:eastAsia="ar-SA"/>
        </w:rPr>
      </w:pPr>
      <w:r>
        <w:rPr>
          <w:b/>
          <w:bCs/>
          <w:sz w:val="24"/>
        </w:rPr>
        <w:t>Jerusalem (J1):</w:t>
      </w:r>
      <w:r>
        <w:rPr>
          <w:rFonts w:cs="Times New Roman"/>
          <w:b/>
          <w:bCs/>
          <w:noProof w:val="0"/>
          <w:sz w:val="24"/>
          <w:lang w:eastAsia="ar-SA"/>
        </w:rPr>
        <w:tab/>
      </w:r>
    </w:p>
    <w:p w:rsidR="005E1E3C" w:rsidRDefault="00610347" w:rsidP="00C75F1E">
      <w:pPr>
        <w:jc w:val="lowKashida"/>
        <w:rPr>
          <w:sz w:val="24"/>
          <w:szCs w:val="24"/>
        </w:rPr>
      </w:pPr>
      <w:r>
        <w:rPr>
          <w:sz w:val="24"/>
          <w:szCs w:val="24"/>
        </w:rPr>
        <w:t xml:space="preserve">Those </w:t>
      </w:r>
      <w:r w:rsidR="005E1E3C">
        <w:rPr>
          <w:sz w:val="24"/>
          <w:szCs w:val="24"/>
        </w:rPr>
        <w:t>part</w:t>
      </w:r>
      <w:r>
        <w:rPr>
          <w:sz w:val="24"/>
          <w:szCs w:val="24"/>
        </w:rPr>
        <w:t>s</w:t>
      </w:r>
      <w:r w:rsidR="005E1E3C">
        <w:rPr>
          <w:sz w:val="24"/>
          <w:szCs w:val="24"/>
        </w:rPr>
        <w:t xml:space="preserve"> of Jerusalem, which </w:t>
      </w:r>
      <w:r>
        <w:rPr>
          <w:sz w:val="24"/>
          <w:szCs w:val="24"/>
        </w:rPr>
        <w:t>were</w:t>
      </w:r>
      <w:r w:rsidR="009C6DD2">
        <w:rPr>
          <w:sz w:val="24"/>
          <w:szCs w:val="24"/>
        </w:rPr>
        <w:t xml:space="preserve"> annexed by Israel in 1967.  The</w:t>
      </w:r>
      <w:r w:rsidR="005E1E3C">
        <w:rPr>
          <w:sz w:val="24"/>
          <w:szCs w:val="24"/>
        </w:rPr>
        <w:t>s</w:t>
      </w:r>
      <w:r w:rsidR="009C6DD2">
        <w:rPr>
          <w:sz w:val="24"/>
          <w:szCs w:val="24"/>
        </w:rPr>
        <w:t>e</w:t>
      </w:r>
      <w:r w:rsidR="005E1E3C">
        <w:rPr>
          <w:sz w:val="24"/>
          <w:szCs w:val="24"/>
        </w:rPr>
        <w:t xml:space="preserve"> part</w:t>
      </w:r>
      <w:r w:rsidR="009C6DD2">
        <w:rPr>
          <w:sz w:val="24"/>
          <w:szCs w:val="24"/>
        </w:rPr>
        <w:t>s</w:t>
      </w:r>
      <w:r w:rsidR="00FF429D">
        <w:rPr>
          <w:sz w:val="24"/>
          <w:szCs w:val="24"/>
        </w:rPr>
        <w:t xml:space="preserve"> include</w:t>
      </w:r>
      <w:r w:rsidR="005E1E3C">
        <w:rPr>
          <w:sz w:val="24"/>
          <w:szCs w:val="24"/>
        </w:rPr>
        <w:t xml:space="preserve"> the following localities: (Beit Hanina, Shu’fat Refugees Camp, Shu’fat, Al’ Isawiya, Sheikh </w:t>
      </w:r>
      <w:r w:rsidR="005E1E3C">
        <w:rPr>
          <w:sz w:val="24"/>
          <w:szCs w:val="24"/>
        </w:rPr>
        <w:lastRenderedPageBreak/>
        <w:t>Jarrah, Wadi Al - Joz, Bab</w:t>
      </w:r>
      <w:r w:rsidR="00C75F1E">
        <w:rPr>
          <w:sz w:val="24"/>
          <w:szCs w:val="24"/>
        </w:rPr>
        <w:t xml:space="preserve"> </w:t>
      </w:r>
      <w:r w:rsidR="005E1E3C">
        <w:rPr>
          <w:sz w:val="24"/>
          <w:szCs w:val="24"/>
        </w:rPr>
        <w:t>Al-Sahira, As Suwwana, At -Tur, Jerusalem “Al - Quds”, Ash - Shayyah, Ras Al-Amud, Silwan, Ath – Thuri, Jabal Al – Mukabbir, As – Sawahira Al – Gharbiya, Beit Safafa, Sharafat, Sur Bahir, and Um Tuba, Kufr A’qab).</w:t>
      </w:r>
    </w:p>
    <w:p w:rsidR="005E1E3C" w:rsidRPr="00D30BD4" w:rsidRDefault="005E1E3C" w:rsidP="00D30BD4">
      <w:pPr>
        <w:tabs>
          <w:tab w:val="left" w:pos="2155"/>
          <w:tab w:val="left" w:pos="9242"/>
        </w:tabs>
        <w:jc w:val="lowKashida"/>
        <w:rPr>
          <w:b/>
          <w:bCs/>
          <w:sz w:val="18"/>
          <w:szCs w:val="18"/>
        </w:rPr>
      </w:pPr>
      <w:r w:rsidRPr="00D30BD4">
        <w:rPr>
          <w:b/>
          <w:bCs/>
          <w:sz w:val="18"/>
          <w:szCs w:val="18"/>
        </w:rPr>
        <w:tab/>
      </w:r>
      <w:r w:rsidRPr="00D30BD4">
        <w:rPr>
          <w:b/>
          <w:bCs/>
          <w:sz w:val="18"/>
          <w:szCs w:val="18"/>
        </w:rPr>
        <w:tab/>
      </w:r>
    </w:p>
    <w:p w:rsidR="005E1E3C" w:rsidRDefault="005E1E3C" w:rsidP="005E1E3C">
      <w:pPr>
        <w:jc w:val="lowKashida"/>
        <w:rPr>
          <w:b/>
          <w:bCs/>
          <w:sz w:val="24"/>
          <w:szCs w:val="24"/>
        </w:rPr>
      </w:pPr>
      <w:r>
        <w:rPr>
          <w:b/>
          <w:bCs/>
          <w:sz w:val="24"/>
          <w:szCs w:val="24"/>
        </w:rPr>
        <w:t>Jerusalem (J2):</w:t>
      </w:r>
    </w:p>
    <w:p w:rsidR="005E1E3C" w:rsidRDefault="005E1E3C" w:rsidP="005E1E3C">
      <w:pPr>
        <w:jc w:val="lowKashida"/>
        <w:rPr>
          <w:sz w:val="24"/>
          <w:szCs w:val="24"/>
        </w:rPr>
      </w:pPr>
      <w:bookmarkStart w:id="0" w:name="OLE_LINK2"/>
      <w:r>
        <w:rPr>
          <w:sz w:val="24"/>
          <w:szCs w:val="24"/>
        </w:rPr>
        <w:t>Includes the remaining parts of Jerusalem governorate</w:t>
      </w:r>
      <w:bookmarkEnd w:id="0"/>
      <w:r>
        <w:rPr>
          <w:sz w:val="24"/>
          <w:szCs w:val="24"/>
        </w:rPr>
        <w:t>, namely: Rafat, Mikhmas, Qalandya Refugee Camp, the Bedouin Community-Jaba’, Qalandya, Beit Duqqu, Jaba’, Al-Judeira, Beit Anan, Al-Ram, Dahiat Al-Bareed, Al-Jib, Bir Nabala, Beit Ijza, Al-Qubeiba, Khirbet Um Al-Lahem, Biddu, An-Nabi Samu’eil, Hizma, Beit Hanina Al Tehta, Qatanna, Beit Surik, Beit Iksa, A’nata, The Bedouin Community – Al-Khan Al-Ahmar, Az Za’eem, Al-Sawahreh Al- Sharqiyeh, Ash-Sheikh Sa’d, The Bedouin Communities. Al-Eizariya, Abu Dis.</w:t>
      </w:r>
      <w:r>
        <w:rPr>
          <w:sz w:val="24"/>
          <w:szCs w:val="24"/>
        </w:rPr>
        <w:tab/>
      </w:r>
    </w:p>
    <w:p w:rsidR="005E1E3C" w:rsidRPr="00D30BD4" w:rsidRDefault="005E1E3C" w:rsidP="00D30BD4">
      <w:pPr>
        <w:tabs>
          <w:tab w:val="left" w:pos="2155"/>
          <w:tab w:val="left" w:pos="9242"/>
        </w:tabs>
        <w:jc w:val="lowKashida"/>
        <w:rPr>
          <w:b/>
          <w:bCs/>
          <w:sz w:val="18"/>
          <w:szCs w:val="18"/>
        </w:rPr>
      </w:pPr>
      <w:r w:rsidRPr="00D30BD4">
        <w:rPr>
          <w:b/>
          <w:bCs/>
          <w:sz w:val="18"/>
          <w:szCs w:val="18"/>
        </w:rPr>
        <w:tab/>
      </w:r>
    </w:p>
    <w:p w:rsidR="005E1E3C" w:rsidRDefault="005E1E3C" w:rsidP="005E1E3C">
      <w:pPr>
        <w:pStyle w:val="TxBrp3"/>
        <w:tabs>
          <w:tab w:val="clear" w:pos="1116"/>
          <w:tab w:val="left" w:pos="854"/>
        </w:tabs>
        <w:spacing w:line="283" w:lineRule="exact"/>
        <w:ind w:left="0"/>
        <w:jc w:val="lowKashida"/>
        <w:rPr>
          <w:b/>
          <w:bCs/>
          <w:sz w:val="24"/>
        </w:rPr>
      </w:pPr>
      <w:r>
        <w:rPr>
          <w:b/>
          <w:bCs/>
          <w:sz w:val="24"/>
        </w:rPr>
        <w:t>A set of special symbols was used in the tables of this report</w:t>
      </w:r>
    </w:p>
    <w:p w:rsidR="005E1E3C" w:rsidRDefault="005E1E3C" w:rsidP="005E1E3C">
      <w:pPr>
        <w:jc w:val="lowKashida"/>
        <w:rPr>
          <w:sz w:val="24"/>
          <w:szCs w:val="24"/>
        </w:rPr>
      </w:pPr>
      <w:r>
        <w:rPr>
          <w:sz w:val="24"/>
          <w:szCs w:val="24"/>
        </w:rPr>
        <w:t>(-):</w:t>
      </w:r>
      <w:r>
        <w:rPr>
          <w:sz w:val="24"/>
          <w:szCs w:val="24"/>
        </w:rPr>
        <w:tab/>
        <w:t>Nil</w:t>
      </w:r>
    </w:p>
    <w:p w:rsidR="005E1E3C" w:rsidRDefault="005E1E3C" w:rsidP="005E1E3C">
      <w:pPr>
        <w:jc w:val="lowKashida"/>
        <w:rPr>
          <w:sz w:val="24"/>
          <w:szCs w:val="24"/>
        </w:rPr>
      </w:pPr>
      <w:r>
        <w:rPr>
          <w:sz w:val="24"/>
          <w:szCs w:val="24"/>
        </w:rPr>
        <w:t>(..):</w:t>
      </w:r>
      <w:r>
        <w:rPr>
          <w:sz w:val="24"/>
          <w:szCs w:val="24"/>
        </w:rPr>
        <w:tab/>
        <w:t>Data not available</w:t>
      </w:r>
    </w:p>
    <w:p w:rsidR="005E1E3C" w:rsidRDefault="005E1E3C" w:rsidP="005E1E3C">
      <w:pPr>
        <w:jc w:val="lowKashida"/>
        <w:rPr>
          <w:sz w:val="24"/>
          <w:szCs w:val="24"/>
        </w:rPr>
      </w:pPr>
      <w:r>
        <w:rPr>
          <w:sz w:val="24"/>
          <w:szCs w:val="24"/>
        </w:rPr>
        <w:t xml:space="preserve">(R):      Revised Figures </w:t>
      </w: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r>
        <w:rPr>
          <w:rFonts w:cs="Times New Roman"/>
          <w:noProof w:val="0"/>
        </w:rPr>
        <w:br w:type="page"/>
      </w:r>
    </w:p>
    <w:p w:rsidR="005E1E3C" w:rsidRDefault="00DC48A1" w:rsidP="005E1E3C">
      <w:pPr>
        <w:pStyle w:val="BodyText2"/>
        <w:ind w:right="-144"/>
        <w:jc w:val="center"/>
        <w:rPr>
          <w:b/>
          <w:bCs/>
          <w:sz w:val="28"/>
          <w:szCs w:val="28"/>
        </w:rPr>
      </w:pPr>
      <w:r>
        <w:rPr>
          <w:b/>
          <w:bCs/>
          <w:sz w:val="28"/>
          <w:szCs w:val="28"/>
        </w:rPr>
        <w:lastRenderedPageBreak/>
        <w:br w:type="page"/>
      </w:r>
      <w:r w:rsidR="005E1E3C">
        <w:rPr>
          <w:b/>
          <w:bCs/>
          <w:sz w:val="28"/>
          <w:szCs w:val="28"/>
        </w:rPr>
        <w:lastRenderedPageBreak/>
        <w:t>References</w:t>
      </w:r>
    </w:p>
    <w:p w:rsidR="005E1E3C" w:rsidRDefault="005E1E3C" w:rsidP="005E1E3C">
      <w:pPr>
        <w:pStyle w:val="BodyText2"/>
        <w:ind w:left="288" w:right="70"/>
        <w:jc w:val="left"/>
        <w:rPr>
          <w:b/>
          <w:bCs/>
        </w:rPr>
      </w:pPr>
    </w:p>
    <w:p w:rsidR="005E1E3C" w:rsidRDefault="005E1E3C" w:rsidP="005E1E3C">
      <w:pPr>
        <w:pStyle w:val="BodyText2"/>
        <w:numPr>
          <w:ilvl w:val="0"/>
          <w:numId w:val="6"/>
        </w:numPr>
        <w:ind w:right="1"/>
      </w:pPr>
      <w:r>
        <w:t>Palestinian Central Bureau of Statistics, 2010.  Israeli Colonizing and Land Grab Database (Unpublished Data). Ramallah- Palestine.</w:t>
      </w:r>
    </w:p>
    <w:p w:rsidR="005E1E3C" w:rsidRDefault="005E1E3C" w:rsidP="005E1E3C">
      <w:pPr>
        <w:pStyle w:val="BodyText2"/>
        <w:numPr>
          <w:ilvl w:val="0"/>
          <w:numId w:val="6"/>
        </w:numPr>
        <w:ind w:right="1"/>
      </w:pPr>
      <w:r>
        <w:t>Palestinian Central Bureau of Statistics, 2009. The Population, Housing, and Establishment Census-2007, Press Conference on the Preliminary Finding , (Population, Building, Housing Units and Establishments).  Ramallah- Palestine.</w:t>
      </w:r>
    </w:p>
    <w:p w:rsidR="005E1E3C" w:rsidRDefault="005E1E3C" w:rsidP="005E1E3C">
      <w:pPr>
        <w:pStyle w:val="BodyText2"/>
        <w:numPr>
          <w:ilvl w:val="0"/>
          <w:numId w:val="6"/>
        </w:numPr>
        <w:ind w:right="1"/>
      </w:pPr>
      <w:r>
        <w:t>PLO Negotiations Affairs Department, July 2009.Barrier to Peace:  Assessment of Israel’s Barrier Route.  Ramallah-Palestine.</w:t>
      </w:r>
    </w:p>
    <w:p w:rsidR="005E1E3C" w:rsidRDefault="005E1E3C" w:rsidP="005E1E3C">
      <w:pPr>
        <w:pStyle w:val="BodyText2"/>
        <w:numPr>
          <w:ilvl w:val="0"/>
          <w:numId w:val="6"/>
        </w:numPr>
        <w:ind w:right="1"/>
      </w:pPr>
      <w:r>
        <w:t>Foundation for Middle East Peace, May-June 2008.  Report on Israeli Settlement</w:t>
      </w:r>
      <w:r>
        <w:br/>
        <w:t>in the Occupied Territories, Vol. 17, No. 3, Washington D.C.</w:t>
      </w:r>
    </w:p>
    <w:p w:rsidR="005E1E3C" w:rsidRDefault="005E1E3C" w:rsidP="005E1E3C">
      <w:pPr>
        <w:pStyle w:val="BodyText2"/>
        <w:numPr>
          <w:ilvl w:val="0"/>
          <w:numId w:val="6"/>
        </w:numPr>
        <w:ind w:right="1"/>
      </w:pPr>
      <w:r>
        <w:t>(OCHA).  July 2007.  The Humanitarian Impact on Palestinians of Israeli Settlements and Infrastructure in the West Bank;</w:t>
      </w:r>
    </w:p>
    <w:p w:rsidR="005E1E3C" w:rsidRDefault="005E1E3C" w:rsidP="005E1E3C">
      <w:pPr>
        <w:pStyle w:val="BodyText2"/>
        <w:numPr>
          <w:ilvl w:val="0"/>
          <w:numId w:val="6"/>
        </w:numPr>
        <w:ind w:right="1"/>
      </w:pPr>
      <w:r>
        <w:t>Israel Central Bureau of Statistics, 2010. Population of Localities with over 2000 Residents, as 30/09/2009 (Provisional Data).  Jerusalem</w:t>
      </w:r>
    </w:p>
    <w:p w:rsidR="005E1E3C" w:rsidRDefault="005E1E3C" w:rsidP="005E1E3C">
      <w:pPr>
        <w:pStyle w:val="BodyText2"/>
        <w:numPr>
          <w:ilvl w:val="0"/>
          <w:numId w:val="6"/>
        </w:numPr>
        <w:ind w:right="1"/>
      </w:pPr>
      <w:r>
        <w:t xml:space="preserve">Israel Central Bureau of Statistics, Statistical Abstract of Israel.  Jerusalem, Various Years. </w:t>
      </w:r>
    </w:p>
    <w:p w:rsidR="005E1E3C" w:rsidRDefault="005E1E3C" w:rsidP="005E1E3C">
      <w:pPr>
        <w:pStyle w:val="BodyText2"/>
        <w:numPr>
          <w:ilvl w:val="0"/>
          <w:numId w:val="6"/>
        </w:numPr>
        <w:ind w:right="1"/>
      </w:pPr>
      <w:r>
        <w:t>The Jerusalem Institute for Israeli Studies, Statistical Yearbook of Jerusalem.    Jerusalem, Various Years.</w:t>
      </w:r>
    </w:p>
    <w:p w:rsidR="005E1E3C" w:rsidRDefault="005E1E3C" w:rsidP="005E1E3C">
      <w:pPr>
        <w:pStyle w:val="BodyText2"/>
        <w:numPr>
          <w:ilvl w:val="0"/>
          <w:numId w:val="6"/>
        </w:numPr>
        <w:ind w:right="1"/>
      </w:pPr>
      <w:r>
        <w:t>The Israeli Information Center for Human Rights in the Occupied Territories (B'TSELEM), 2002.  Land Grab-Israel’s Settlement Policy in the West Bank.  Jerusalem.</w:t>
      </w:r>
    </w:p>
    <w:p w:rsidR="005E1E3C" w:rsidRDefault="005E1E3C" w:rsidP="005E1E3C">
      <w:pPr>
        <w:pStyle w:val="Title"/>
        <w:ind w:left="-2"/>
      </w:pPr>
      <w:r>
        <w:t xml:space="preserve"> </w:t>
      </w:r>
    </w:p>
    <w:p w:rsidR="005E1E3C" w:rsidRDefault="005E1E3C" w:rsidP="005E1E3C">
      <w:pPr>
        <w:pStyle w:val="BodyTextIndent2"/>
        <w:ind w:left="0"/>
        <w:rPr>
          <w:rtl/>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1A3F81" w:rsidRDefault="005E1E3C" w:rsidP="001A3F81">
      <w:pPr>
        <w:tabs>
          <w:tab w:val="left" w:pos="5793"/>
        </w:tabs>
      </w:pPr>
    </w:p>
    <w:sectPr w:rsidR="005E1E3C" w:rsidRPr="001A3F81" w:rsidSect="006505D8">
      <w:footerReference w:type="default" r:id="rId17"/>
      <w:pgSz w:w="11909" w:h="16834" w:code="9"/>
      <w:pgMar w:top="1418" w:right="1418" w:bottom="1418" w:left="1418" w:header="720" w:footer="720" w:gutter="0"/>
      <w:pgNumType w:start="15"/>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06A2" w:rsidRDefault="005506A2">
      <w:r>
        <w:separator/>
      </w:r>
    </w:p>
  </w:endnote>
  <w:endnote w:type="continuationSeparator" w:id="0">
    <w:p w:rsidR="005506A2" w:rsidRDefault="005506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imelT">
    <w:altName w:val="Times New Roman"/>
    <w:charset w:val="00"/>
    <w:family w:val="auto"/>
    <w:pitch w:val="variable"/>
    <w:sig w:usb0="00002003" w:usb1="00000000" w:usb2="00000000" w:usb3="00000000" w:csb0="00000041" w:csb1="00000000"/>
  </w:font>
  <w:font w:name="SwitzerlandLight">
    <w:altName w:val="Courier New"/>
    <w:charset w:val="00"/>
    <w:family w:val="swiss"/>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3ED8" w:rsidRPr="00096737" w:rsidRDefault="00646F70">
    <w:pPr>
      <w:pStyle w:val="Footer"/>
      <w:jc w:val="center"/>
      <w:rPr>
        <w:rFonts w:cs="Times New Roman"/>
        <w:b/>
        <w:bCs/>
        <w:sz w:val="20"/>
        <w:szCs w:val="20"/>
      </w:rPr>
    </w:pPr>
    <w:r>
      <w:rPr>
        <w:rFonts w:cs="Times New Roman"/>
        <w:b/>
        <w:bCs/>
        <w:sz w:val="20"/>
        <w:szCs w:val="20"/>
      </w:rPr>
      <w:t>]</w:t>
    </w:r>
    <w:r w:rsidR="00583DF6" w:rsidRPr="00096737">
      <w:rPr>
        <w:rFonts w:cs="Times New Roman"/>
        <w:b/>
        <w:bCs/>
        <w:sz w:val="20"/>
        <w:szCs w:val="20"/>
      </w:rPr>
      <w:fldChar w:fldCharType="begin"/>
    </w:r>
    <w:r w:rsidR="00F9404F" w:rsidRPr="00096737">
      <w:rPr>
        <w:rFonts w:cs="Times New Roman"/>
        <w:b/>
        <w:bCs/>
        <w:sz w:val="20"/>
        <w:szCs w:val="20"/>
      </w:rPr>
      <w:instrText xml:space="preserve"> PAGE   \* MERGEFORMAT </w:instrText>
    </w:r>
    <w:r w:rsidR="00583DF6" w:rsidRPr="00096737">
      <w:rPr>
        <w:rFonts w:cs="Times New Roman"/>
        <w:b/>
        <w:bCs/>
        <w:sz w:val="20"/>
        <w:szCs w:val="20"/>
      </w:rPr>
      <w:fldChar w:fldCharType="separate"/>
    </w:r>
    <w:r w:rsidR="002B0722">
      <w:rPr>
        <w:rFonts w:cs="Times New Roman"/>
        <w:b/>
        <w:bCs/>
        <w:sz w:val="20"/>
        <w:szCs w:val="20"/>
        <w:rtl/>
      </w:rPr>
      <w:t>25</w:t>
    </w:r>
    <w:r w:rsidR="00583DF6" w:rsidRPr="00096737">
      <w:rPr>
        <w:rFonts w:cs="Times New Roman"/>
        <w:b/>
        <w:bCs/>
        <w:sz w:val="20"/>
        <w:szCs w:val="20"/>
      </w:rPr>
      <w:fldChar w:fldCharType="end"/>
    </w:r>
    <w:r>
      <w:rPr>
        <w:rFonts w:cs="Times New Roman"/>
        <w:b/>
        <w:bCs/>
        <w:sz w:val="20"/>
        <w:szCs w:val="20"/>
      </w:rPr>
      <w:t>[</w:t>
    </w:r>
  </w:p>
  <w:p w:rsidR="000E3ED8" w:rsidRDefault="000E3E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06A2" w:rsidRDefault="005506A2">
      <w:r>
        <w:separator/>
      </w:r>
    </w:p>
  </w:footnote>
  <w:footnote w:type="continuationSeparator" w:id="0">
    <w:p w:rsidR="005506A2" w:rsidRDefault="005506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F31" w:rsidRPr="00A078D4" w:rsidRDefault="00A078D4" w:rsidP="0007030C">
    <w:pPr>
      <w:pStyle w:val="Header"/>
      <w:bidi w:val="0"/>
      <w:rPr>
        <w:rFonts w:ascii="Arial" w:hAnsi="Arial" w:cs="Arial"/>
        <w:sz w:val="16"/>
        <w:szCs w:val="16"/>
        <w:rtl/>
      </w:rPr>
    </w:pPr>
    <w:r w:rsidRPr="00A078D4">
      <w:rPr>
        <w:rFonts w:ascii="Arial" w:hAnsi="Arial" w:cs="Arial"/>
        <w:sz w:val="16"/>
        <w:szCs w:val="16"/>
      </w:rPr>
      <w:t xml:space="preserve">PCBS: </w:t>
    </w:r>
    <w:r w:rsidR="00747F31" w:rsidRPr="00A078D4">
      <w:rPr>
        <w:rFonts w:ascii="Arial" w:hAnsi="Arial" w:cs="Arial"/>
        <w:sz w:val="16"/>
        <w:szCs w:val="16"/>
      </w:rPr>
      <w:t>Israeli Settlements in the Palestinian Territory 2010</w:t>
    </w:r>
    <w:r w:rsidR="00747F31" w:rsidRPr="00A078D4">
      <w:rPr>
        <w:rFonts w:ascii="Arial" w:hAnsi="Arial" w:cs="Arial"/>
        <w:sz w:val="16"/>
        <w:szCs w:val="16"/>
        <w:rt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2E4A7D64"/>
    <w:multiLevelType w:val="hybridMultilevel"/>
    <w:tmpl w:val="751ACAD4"/>
    <w:lvl w:ilvl="0" w:tplc="FFFFFFFF">
      <w:start w:val="1"/>
      <w:numFmt w:val="decimal"/>
      <w:lvlText w:val="%1."/>
      <w:lvlJc w:val="left"/>
      <w:pPr>
        <w:tabs>
          <w:tab w:val="num" w:pos="360"/>
        </w:tabs>
        <w:ind w:left="340" w:right="340" w:hanging="340"/>
      </w:pPr>
      <w:rPr>
        <w:rFonts w:hint="default"/>
      </w:rPr>
    </w:lvl>
    <w:lvl w:ilvl="1" w:tplc="FFFFFFFF" w:tentative="1">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2">
    <w:nsid w:val="3D147A4F"/>
    <w:multiLevelType w:val="hybridMultilevel"/>
    <w:tmpl w:val="D03414A2"/>
    <w:lvl w:ilvl="0" w:tplc="0401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457A257C"/>
    <w:multiLevelType w:val="hybridMultilevel"/>
    <w:tmpl w:val="658648CC"/>
    <w:lvl w:ilvl="0" w:tplc="0409000F">
      <w:start w:val="1"/>
      <w:numFmt w:val="decimal"/>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4">
    <w:nsid w:val="495A44FA"/>
    <w:multiLevelType w:val="hybridMultilevel"/>
    <w:tmpl w:val="D76E1A80"/>
    <w:lvl w:ilvl="0" w:tplc="04010005">
      <w:start w:val="1"/>
      <w:numFmt w:val="bullet"/>
      <w:lvlText w:val=""/>
      <w:lvlJc w:val="left"/>
      <w:pPr>
        <w:tabs>
          <w:tab w:val="num" w:pos="360"/>
        </w:tabs>
        <w:ind w:left="360" w:right="360" w:hanging="360"/>
      </w:pPr>
      <w:rPr>
        <w:rFonts w:ascii="Wingdings" w:hAnsi="Wingdings"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5">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0"/>
  </w:num>
  <w:num w:numId="2">
    <w:abstractNumId w:val="5"/>
  </w:num>
  <w:num w:numId="3">
    <w:abstractNumId w:val="2"/>
  </w:num>
  <w:num w:numId="4">
    <w:abstractNumId w:val="4"/>
  </w:num>
  <w:num w:numId="5">
    <w:abstractNumId w:val="3"/>
  </w:num>
  <w:num w:numId="6">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70658"/>
  </w:hdrShapeDefaults>
  <w:footnotePr>
    <w:footnote w:id="-1"/>
    <w:footnote w:id="0"/>
  </w:footnotePr>
  <w:endnotePr>
    <w:endnote w:id="-1"/>
    <w:endnote w:id="0"/>
  </w:endnotePr>
  <w:compat/>
  <w:rsids>
    <w:rsidRoot w:val="00BE4FF5"/>
    <w:rsid w:val="000658F1"/>
    <w:rsid w:val="0007030C"/>
    <w:rsid w:val="00093ACB"/>
    <w:rsid w:val="00096737"/>
    <w:rsid w:val="000A02CF"/>
    <w:rsid w:val="000A7E4F"/>
    <w:rsid w:val="000C589F"/>
    <w:rsid w:val="000D1DB9"/>
    <w:rsid w:val="000E3ED8"/>
    <w:rsid w:val="0015335C"/>
    <w:rsid w:val="00174F7D"/>
    <w:rsid w:val="00197BF8"/>
    <w:rsid w:val="001A3F81"/>
    <w:rsid w:val="001B445F"/>
    <w:rsid w:val="001C1CE4"/>
    <w:rsid w:val="001C2899"/>
    <w:rsid w:val="001D1F55"/>
    <w:rsid w:val="001D7AFC"/>
    <w:rsid w:val="0022724C"/>
    <w:rsid w:val="00234636"/>
    <w:rsid w:val="00257785"/>
    <w:rsid w:val="00257EB1"/>
    <w:rsid w:val="00282DFD"/>
    <w:rsid w:val="002A79BF"/>
    <w:rsid w:val="002B0722"/>
    <w:rsid w:val="002B0E28"/>
    <w:rsid w:val="002C134A"/>
    <w:rsid w:val="002C3FB7"/>
    <w:rsid w:val="002C65E4"/>
    <w:rsid w:val="002D15C2"/>
    <w:rsid w:val="002F175E"/>
    <w:rsid w:val="002F6AF9"/>
    <w:rsid w:val="0030011F"/>
    <w:rsid w:val="003122B7"/>
    <w:rsid w:val="00320AFC"/>
    <w:rsid w:val="00342E6E"/>
    <w:rsid w:val="0034462B"/>
    <w:rsid w:val="00357DA6"/>
    <w:rsid w:val="0038395B"/>
    <w:rsid w:val="003916F1"/>
    <w:rsid w:val="00392CA9"/>
    <w:rsid w:val="003E7ECC"/>
    <w:rsid w:val="00463463"/>
    <w:rsid w:val="004A47E9"/>
    <w:rsid w:val="004C2A86"/>
    <w:rsid w:val="004F482F"/>
    <w:rsid w:val="004F5B09"/>
    <w:rsid w:val="00512EE7"/>
    <w:rsid w:val="005506A2"/>
    <w:rsid w:val="00556D30"/>
    <w:rsid w:val="00570AE0"/>
    <w:rsid w:val="00583DF6"/>
    <w:rsid w:val="005A67C0"/>
    <w:rsid w:val="005B0C6B"/>
    <w:rsid w:val="005D74B1"/>
    <w:rsid w:val="005E1E3C"/>
    <w:rsid w:val="00610347"/>
    <w:rsid w:val="006156E4"/>
    <w:rsid w:val="00623772"/>
    <w:rsid w:val="00646F70"/>
    <w:rsid w:val="006505D8"/>
    <w:rsid w:val="0070256D"/>
    <w:rsid w:val="00720FBC"/>
    <w:rsid w:val="00725D3B"/>
    <w:rsid w:val="00743E10"/>
    <w:rsid w:val="00747F31"/>
    <w:rsid w:val="007B48FE"/>
    <w:rsid w:val="007D1E66"/>
    <w:rsid w:val="007D2559"/>
    <w:rsid w:val="007E53F5"/>
    <w:rsid w:val="0085386D"/>
    <w:rsid w:val="008571B2"/>
    <w:rsid w:val="008758BA"/>
    <w:rsid w:val="0088068A"/>
    <w:rsid w:val="008B02D1"/>
    <w:rsid w:val="008B113C"/>
    <w:rsid w:val="008B3569"/>
    <w:rsid w:val="008F4836"/>
    <w:rsid w:val="00911D6E"/>
    <w:rsid w:val="009167DA"/>
    <w:rsid w:val="00932B3F"/>
    <w:rsid w:val="00953976"/>
    <w:rsid w:val="00994C77"/>
    <w:rsid w:val="009C6DD2"/>
    <w:rsid w:val="009C6EED"/>
    <w:rsid w:val="009C786B"/>
    <w:rsid w:val="00A078D4"/>
    <w:rsid w:val="00A7565D"/>
    <w:rsid w:val="00A77D40"/>
    <w:rsid w:val="00AC793F"/>
    <w:rsid w:val="00AE0DAE"/>
    <w:rsid w:val="00B00653"/>
    <w:rsid w:val="00B1242B"/>
    <w:rsid w:val="00B12F30"/>
    <w:rsid w:val="00B15045"/>
    <w:rsid w:val="00B55CD7"/>
    <w:rsid w:val="00BD3273"/>
    <w:rsid w:val="00BD65EF"/>
    <w:rsid w:val="00BE4FF5"/>
    <w:rsid w:val="00BF5779"/>
    <w:rsid w:val="00C00634"/>
    <w:rsid w:val="00C36C56"/>
    <w:rsid w:val="00C66D05"/>
    <w:rsid w:val="00C75F1E"/>
    <w:rsid w:val="00C9268D"/>
    <w:rsid w:val="00C92C55"/>
    <w:rsid w:val="00CB29F6"/>
    <w:rsid w:val="00CB322B"/>
    <w:rsid w:val="00CC6D9C"/>
    <w:rsid w:val="00CD198C"/>
    <w:rsid w:val="00CE06E0"/>
    <w:rsid w:val="00CE62C7"/>
    <w:rsid w:val="00D237DA"/>
    <w:rsid w:val="00D30BD4"/>
    <w:rsid w:val="00DC48A1"/>
    <w:rsid w:val="00DD4D55"/>
    <w:rsid w:val="00DE5BBC"/>
    <w:rsid w:val="00E026CE"/>
    <w:rsid w:val="00E11A11"/>
    <w:rsid w:val="00E55C23"/>
    <w:rsid w:val="00E71CD7"/>
    <w:rsid w:val="00EA4057"/>
    <w:rsid w:val="00EB4C09"/>
    <w:rsid w:val="00F751F8"/>
    <w:rsid w:val="00F7607B"/>
    <w:rsid w:val="00F8088A"/>
    <w:rsid w:val="00F84A32"/>
    <w:rsid w:val="00F9404F"/>
    <w:rsid w:val="00F97E53"/>
    <w:rsid w:val="00FA0D16"/>
    <w:rsid w:val="00FB0ABC"/>
    <w:rsid w:val="00FE3F03"/>
    <w:rsid w:val="00FF42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04F"/>
    <w:rPr>
      <w:rFonts w:cs="Traditional Arabic"/>
    </w:rPr>
  </w:style>
  <w:style w:type="paragraph" w:styleId="Heading1">
    <w:name w:val="heading 1"/>
    <w:basedOn w:val="Normal"/>
    <w:next w:val="Normal"/>
    <w:qFormat/>
    <w:rsid w:val="00F9404F"/>
    <w:pPr>
      <w:keepNext/>
      <w:jc w:val="lowKashida"/>
      <w:outlineLvl w:val="0"/>
    </w:pPr>
    <w:rPr>
      <w:rFonts w:cs="Simplified Arabic"/>
      <w:sz w:val="24"/>
    </w:rPr>
  </w:style>
  <w:style w:type="paragraph" w:styleId="Heading2">
    <w:name w:val="heading 2"/>
    <w:basedOn w:val="Normal"/>
    <w:next w:val="Normal"/>
    <w:qFormat/>
    <w:rsid w:val="00F9404F"/>
    <w:pPr>
      <w:keepNext/>
      <w:jc w:val="lowKashida"/>
      <w:outlineLvl w:val="1"/>
    </w:pPr>
    <w:rPr>
      <w:rFonts w:cs="Times New Roman"/>
      <w:sz w:val="24"/>
      <w:szCs w:val="24"/>
    </w:rPr>
  </w:style>
  <w:style w:type="paragraph" w:styleId="Heading3">
    <w:name w:val="heading 3"/>
    <w:basedOn w:val="Normal"/>
    <w:next w:val="Normal"/>
    <w:qFormat/>
    <w:rsid w:val="00F9404F"/>
    <w:pPr>
      <w:keepNext/>
      <w:jc w:val="center"/>
      <w:outlineLvl w:val="2"/>
    </w:pPr>
    <w:rPr>
      <w:sz w:val="24"/>
    </w:rPr>
  </w:style>
  <w:style w:type="paragraph" w:styleId="Heading4">
    <w:name w:val="heading 4"/>
    <w:basedOn w:val="Normal"/>
    <w:next w:val="Normal"/>
    <w:qFormat/>
    <w:rsid w:val="00F9404F"/>
    <w:pPr>
      <w:keepNext/>
      <w:jc w:val="both"/>
      <w:outlineLvl w:val="3"/>
    </w:pPr>
    <w:rPr>
      <w:b/>
      <w:bCs/>
      <w:sz w:val="24"/>
      <w:szCs w:val="24"/>
    </w:rPr>
  </w:style>
  <w:style w:type="paragraph" w:styleId="Heading5">
    <w:name w:val="heading 5"/>
    <w:basedOn w:val="Normal"/>
    <w:next w:val="Normal"/>
    <w:qFormat/>
    <w:rsid w:val="00F9404F"/>
    <w:pPr>
      <w:keepNext/>
      <w:jc w:val="center"/>
      <w:outlineLvl w:val="4"/>
    </w:pPr>
    <w:rPr>
      <w:b/>
      <w:bCs/>
      <w:szCs w:val="24"/>
    </w:rPr>
  </w:style>
  <w:style w:type="paragraph" w:styleId="Heading6">
    <w:name w:val="heading 6"/>
    <w:basedOn w:val="Normal"/>
    <w:next w:val="Normal"/>
    <w:qFormat/>
    <w:rsid w:val="00F9404F"/>
    <w:pPr>
      <w:keepNext/>
      <w:ind w:left="288"/>
      <w:outlineLvl w:val="5"/>
    </w:pPr>
    <w:rPr>
      <w:rFonts w:cs="Times New Roman"/>
      <w:b/>
      <w:bCs/>
      <w:snapToGrid w:val="0"/>
      <w:color w:val="000000"/>
      <w:sz w:val="24"/>
    </w:rPr>
  </w:style>
  <w:style w:type="paragraph" w:styleId="Heading7">
    <w:name w:val="heading 7"/>
    <w:basedOn w:val="Normal"/>
    <w:next w:val="Normal"/>
    <w:qFormat/>
    <w:rsid w:val="00F9404F"/>
    <w:pPr>
      <w:keepNext/>
      <w:outlineLvl w:val="6"/>
    </w:pPr>
    <w:rPr>
      <w:rFonts w:cs="Times New Roman"/>
      <w:b/>
      <w:bCs/>
      <w:snapToGrid w:val="0"/>
      <w:color w:val="000000"/>
      <w:sz w:val="24"/>
    </w:rPr>
  </w:style>
  <w:style w:type="paragraph" w:styleId="Heading8">
    <w:name w:val="heading 8"/>
    <w:basedOn w:val="Normal"/>
    <w:next w:val="Normal"/>
    <w:qFormat/>
    <w:rsid w:val="00F9404F"/>
    <w:pPr>
      <w:keepNext/>
      <w:outlineLvl w:val="7"/>
    </w:pPr>
    <w:rPr>
      <w:b/>
      <w:bCs/>
      <w:snapToGrid w:val="0"/>
      <w:sz w:val="24"/>
    </w:rPr>
  </w:style>
  <w:style w:type="paragraph" w:styleId="Heading9">
    <w:name w:val="heading 9"/>
    <w:basedOn w:val="Normal"/>
    <w:next w:val="Normal"/>
    <w:qFormat/>
    <w:rsid w:val="00F9404F"/>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9404F"/>
    <w:pPr>
      <w:tabs>
        <w:tab w:val="center" w:pos="4153"/>
        <w:tab w:val="right" w:pos="8306"/>
      </w:tabs>
      <w:bidi/>
    </w:pPr>
  </w:style>
  <w:style w:type="paragraph" w:styleId="Caption">
    <w:name w:val="caption"/>
    <w:basedOn w:val="Normal"/>
    <w:next w:val="Normal"/>
    <w:qFormat/>
    <w:rsid w:val="00F9404F"/>
    <w:pPr>
      <w:jc w:val="center"/>
    </w:pPr>
    <w:rPr>
      <w:b/>
      <w:bCs/>
      <w:sz w:val="52"/>
      <w:szCs w:val="62"/>
    </w:rPr>
  </w:style>
  <w:style w:type="paragraph" w:styleId="BodyText">
    <w:name w:val="Body Text"/>
    <w:basedOn w:val="Normal"/>
    <w:semiHidden/>
    <w:rsid w:val="00F9404F"/>
    <w:pPr>
      <w:jc w:val="lowKashida"/>
    </w:pPr>
    <w:rPr>
      <w:sz w:val="24"/>
      <w:szCs w:val="28"/>
    </w:rPr>
  </w:style>
  <w:style w:type="character" w:styleId="Hyperlink">
    <w:name w:val="Hyperlink"/>
    <w:basedOn w:val="DefaultParagraphFont"/>
    <w:semiHidden/>
    <w:rsid w:val="00F9404F"/>
    <w:rPr>
      <w:color w:val="0000FF"/>
      <w:u w:val="single"/>
    </w:rPr>
  </w:style>
  <w:style w:type="paragraph" w:styleId="Title">
    <w:name w:val="Title"/>
    <w:basedOn w:val="Normal"/>
    <w:qFormat/>
    <w:rsid w:val="00F9404F"/>
    <w:pPr>
      <w:jc w:val="center"/>
    </w:pPr>
    <w:rPr>
      <w:b/>
      <w:bCs/>
      <w:sz w:val="28"/>
    </w:rPr>
  </w:style>
  <w:style w:type="paragraph" w:styleId="BodyTextIndent">
    <w:name w:val="Body Text Indent"/>
    <w:basedOn w:val="Normal"/>
    <w:semiHidden/>
    <w:rsid w:val="00F9404F"/>
    <w:pPr>
      <w:ind w:left="288"/>
      <w:jc w:val="center"/>
    </w:pPr>
    <w:rPr>
      <w:sz w:val="24"/>
    </w:rPr>
  </w:style>
  <w:style w:type="paragraph" w:styleId="BodyText3">
    <w:name w:val="Body Text 3"/>
    <w:basedOn w:val="Normal"/>
    <w:semiHidden/>
    <w:rsid w:val="00F9404F"/>
    <w:pPr>
      <w:jc w:val="center"/>
    </w:pPr>
  </w:style>
  <w:style w:type="character" w:styleId="FollowedHyperlink">
    <w:name w:val="FollowedHyperlink"/>
    <w:basedOn w:val="DefaultParagraphFont"/>
    <w:semiHidden/>
    <w:rsid w:val="00F9404F"/>
    <w:rPr>
      <w:color w:val="800080"/>
      <w:u w:val="single"/>
    </w:rPr>
  </w:style>
  <w:style w:type="paragraph" w:styleId="BodyText2">
    <w:name w:val="Body Text 2"/>
    <w:basedOn w:val="Normal"/>
    <w:semiHidden/>
    <w:rsid w:val="00F9404F"/>
    <w:pPr>
      <w:jc w:val="both"/>
    </w:pPr>
    <w:rPr>
      <w:sz w:val="24"/>
      <w:szCs w:val="24"/>
    </w:rPr>
  </w:style>
  <w:style w:type="paragraph" w:customStyle="1" w:styleId="H1">
    <w:name w:val="H1"/>
    <w:basedOn w:val="Normal"/>
    <w:next w:val="Normal"/>
    <w:rsid w:val="00F9404F"/>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rsid w:val="00F9404F"/>
  </w:style>
  <w:style w:type="paragraph" w:styleId="BodyTextIndent2">
    <w:name w:val="Body Text Indent 2"/>
    <w:basedOn w:val="Normal"/>
    <w:semiHidden/>
    <w:rsid w:val="00F9404F"/>
    <w:pPr>
      <w:ind w:left="45"/>
      <w:jc w:val="lowKashida"/>
    </w:pPr>
    <w:rPr>
      <w:sz w:val="24"/>
      <w:szCs w:val="24"/>
    </w:rPr>
  </w:style>
  <w:style w:type="paragraph" w:styleId="Footer">
    <w:name w:val="footer"/>
    <w:basedOn w:val="Normal"/>
    <w:link w:val="FooterChar"/>
    <w:uiPriority w:val="99"/>
    <w:rsid w:val="00F9404F"/>
    <w:pPr>
      <w:tabs>
        <w:tab w:val="center" w:pos="4153"/>
        <w:tab w:val="right" w:pos="8306"/>
      </w:tabs>
      <w:bidi/>
      <w:jc w:val="right"/>
    </w:pPr>
    <w:rPr>
      <w:noProof/>
      <w:sz w:val="24"/>
      <w:szCs w:val="28"/>
    </w:rPr>
  </w:style>
  <w:style w:type="paragraph" w:styleId="BodyTextIndent3">
    <w:name w:val="Body Text Indent 3"/>
    <w:basedOn w:val="Normal"/>
    <w:semiHidden/>
    <w:rsid w:val="00F9404F"/>
    <w:pPr>
      <w:ind w:left="34" w:hanging="142"/>
      <w:jc w:val="lowKashida"/>
    </w:pPr>
    <w:rPr>
      <w:noProof/>
      <w:sz w:val="23"/>
      <w:szCs w:val="27"/>
    </w:rPr>
  </w:style>
  <w:style w:type="character" w:customStyle="1" w:styleId="LatinChar0">
    <w:name w:val="Latin_Char"/>
    <w:rsid w:val="00F9404F"/>
    <w:rPr>
      <w:rFonts w:ascii="TimelT" w:hAnsi="TimelT"/>
      <w:noProof w:val="0"/>
      <w:lang w:val="en-US"/>
    </w:rPr>
  </w:style>
  <w:style w:type="paragraph" w:customStyle="1" w:styleId="text">
    <w:name w:val="text"/>
    <w:basedOn w:val="Normal"/>
    <w:rsid w:val="00F9404F"/>
    <w:pPr>
      <w:widowControl w:val="0"/>
      <w:spacing w:line="200" w:lineRule="atLeast"/>
      <w:jc w:val="lowKashida"/>
    </w:pPr>
    <w:rPr>
      <w:rFonts w:ascii="SwitzerlandLight" w:hAnsi="SwitzerlandLight"/>
      <w:noProof/>
      <w:sz w:val="16"/>
      <w:szCs w:val="19"/>
    </w:rPr>
  </w:style>
  <w:style w:type="paragraph" w:customStyle="1" w:styleId="TxBrp7">
    <w:name w:val="TxBr_p7"/>
    <w:basedOn w:val="Normal"/>
    <w:rsid w:val="00F9404F"/>
    <w:pPr>
      <w:widowControl w:val="0"/>
      <w:autoSpaceDE w:val="0"/>
      <w:autoSpaceDN w:val="0"/>
      <w:adjustRightInd w:val="0"/>
      <w:spacing w:line="402" w:lineRule="atLeast"/>
      <w:ind w:left="1304"/>
    </w:pPr>
    <w:rPr>
      <w:noProof/>
      <w:szCs w:val="24"/>
    </w:rPr>
  </w:style>
  <w:style w:type="paragraph" w:customStyle="1" w:styleId="TxBrp8">
    <w:name w:val="TxBr_p8"/>
    <w:basedOn w:val="Normal"/>
    <w:rsid w:val="00F9404F"/>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rsid w:val="00F9404F"/>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semiHidden/>
    <w:rsid w:val="00F9404F"/>
  </w:style>
  <w:style w:type="paragraph" w:styleId="BlockText">
    <w:name w:val="Block Text"/>
    <w:basedOn w:val="Normal"/>
    <w:semiHidden/>
    <w:rsid w:val="00F9404F"/>
    <w:pPr>
      <w:bidi/>
      <w:ind w:left="566" w:right="567"/>
      <w:jc w:val="both"/>
    </w:pPr>
    <w:rPr>
      <w:rFonts w:cs="Simplified Arabic"/>
      <w:b/>
      <w:bCs/>
      <w:sz w:val="24"/>
      <w:szCs w:val="24"/>
    </w:rPr>
  </w:style>
  <w:style w:type="paragraph" w:customStyle="1" w:styleId="xl52">
    <w:name w:val="xl52"/>
    <w:basedOn w:val="Normal"/>
    <w:rsid w:val="00F9404F"/>
    <w:pPr>
      <w:spacing w:before="100" w:beforeAutospacing="1" w:after="100" w:afterAutospacing="1"/>
      <w:jc w:val="right"/>
      <w:textAlignment w:val="top"/>
    </w:pPr>
    <w:rPr>
      <w:rFonts w:ascii="Arial Unicode MS" w:eastAsia="Arial Unicode MS" w:hAnsi="Arial Unicode MS" w:cs="Simplified Arabic" w:hint="cs"/>
      <w:sz w:val="18"/>
      <w:szCs w:val="18"/>
      <w:lang w:eastAsia="ar-SA"/>
    </w:rPr>
  </w:style>
  <w:style w:type="paragraph" w:customStyle="1" w:styleId="font10">
    <w:name w:val="font10"/>
    <w:basedOn w:val="Normal"/>
    <w:rsid w:val="00F9404F"/>
    <w:pPr>
      <w:spacing w:before="100" w:beforeAutospacing="1" w:after="100" w:afterAutospacing="1"/>
    </w:pPr>
    <w:rPr>
      <w:rFonts w:eastAsia="Arial Unicode MS" w:cs="Times New Roman"/>
      <w:b/>
      <w:bCs/>
      <w:lang w:eastAsia="ar-SA"/>
    </w:rPr>
  </w:style>
  <w:style w:type="character" w:styleId="CommentReference">
    <w:name w:val="annotation reference"/>
    <w:basedOn w:val="DefaultParagraphFont"/>
    <w:semiHidden/>
    <w:rsid w:val="00F9404F"/>
    <w:rPr>
      <w:sz w:val="16"/>
      <w:szCs w:val="16"/>
    </w:rPr>
  </w:style>
  <w:style w:type="paragraph" w:styleId="CommentText">
    <w:name w:val="annotation text"/>
    <w:basedOn w:val="Normal"/>
    <w:semiHidden/>
    <w:rsid w:val="00F9404F"/>
  </w:style>
  <w:style w:type="character" w:customStyle="1" w:styleId="FooterChar">
    <w:name w:val="Footer Char"/>
    <w:basedOn w:val="DefaultParagraphFont"/>
    <w:link w:val="Footer"/>
    <w:uiPriority w:val="99"/>
    <w:rsid w:val="00392CA9"/>
    <w:rPr>
      <w:rFonts w:cs="Traditional Arabic"/>
      <w:noProof/>
      <w:sz w:val="24"/>
      <w:szCs w:val="28"/>
    </w:rPr>
  </w:style>
  <w:style w:type="character" w:customStyle="1" w:styleId="HeaderChar">
    <w:name w:val="Header Char"/>
    <w:basedOn w:val="DefaultParagraphFont"/>
    <w:link w:val="Header"/>
    <w:uiPriority w:val="99"/>
    <w:rsid w:val="000E3ED8"/>
    <w:rPr>
      <w:rFonts w:cs="Traditional Arabic"/>
    </w:rPr>
  </w:style>
  <w:style w:type="paragraph" w:styleId="BalloonText">
    <w:name w:val="Balloon Text"/>
    <w:basedOn w:val="Normal"/>
    <w:link w:val="BalloonTextChar"/>
    <w:uiPriority w:val="99"/>
    <w:semiHidden/>
    <w:unhideWhenUsed/>
    <w:rsid w:val="000E3ED8"/>
    <w:rPr>
      <w:rFonts w:ascii="Tahoma" w:hAnsi="Tahoma" w:cs="Tahoma"/>
      <w:sz w:val="16"/>
      <w:szCs w:val="16"/>
    </w:rPr>
  </w:style>
  <w:style w:type="character" w:customStyle="1" w:styleId="BalloonTextChar">
    <w:name w:val="Balloon Text Char"/>
    <w:basedOn w:val="DefaultParagraphFont"/>
    <w:link w:val="BalloonText"/>
    <w:uiPriority w:val="99"/>
    <w:semiHidden/>
    <w:rsid w:val="000E3ED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hyperlink" Target="http://www.pcbs.gov.p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Documents%20and%20Settings\mmasri\Local%20Settings\Temporary%20Internet%20Files\Content.Outlook\8P32TXFD\diwan@pcbs.gov.ps" TargetMode="Externa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4831081081081091"/>
          <c:y val="3.4364261168384883E-2"/>
          <c:w val="0.72558969962929165"/>
          <c:h val="0.77796375260460815"/>
        </c:manualLayout>
      </c:layout>
      <c:barChart>
        <c:barDir val="bar"/>
        <c:grouping val="clustered"/>
        <c:ser>
          <c:idx val="0"/>
          <c:order val="0"/>
          <c:tx>
            <c:strRef>
              <c:f>Sheet1!$A$2</c:f>
              <c:strCache>
                <c:ptCount val="1"/>
                <c:pt idx="0">
                  <c:v>Formal Settlements</c:v>
                </c:pt>
              </c:strCache>
            </c:strRef>
          </c:tx>
          <c:spPr>
            <a:solidFill>
              <a:srgbClr val="9999FF"/>
            </a:solidFill>
            <a:ln w="12668">
              <a:solidFill>
                <a:srgbClr val="000000"/>
              </a:solidFill>
              <a:prstDash val="solid"/>
            </a:ln>
          </c:spPr>
          <c:dLbls>
            <c:spPr>
              <a:noFill/>
              <a:ln w="25335">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Sheet1!$B$1:$L$1</c:f>
              <c:strCache>
                <c:ptCount val="11"/>
                <c:pt idx="0">
                  <c:v>Jerusalem</c:v>
                </c:pt>
                <c:pt idx="1">
                  <c:v>Ramallah &amp; Al-Bireh</c:v>
                </c:pt>
                <c:pt idx="2">
                  <c:v>Hebron</c:v>
                </c:pt>
                <c:pt idx="3">
                  <c:v>Jericho &amp; Al- Aghwar</c:v>
                </c:pt>
                <c:pt idx="4">
                  <c:v>Bethlehem</c:v>
                </c:pt>
                <c:pt idx="5">
                  <c:v>Salfit</c:v>
                </c:pt>
                <c:pt idx="6">
                  <c:v>Nablus</c:v>
                </c:pt>
                <c:pt idx="7">
                  <c:v>Qalqiliya</c:v>
                </c:pt>
                <c:pt idx="8">
                  <c:v>Tubas</c:v>
                </c:pt>
                <c:pt idx="9">
                  <c:v>Jenin</c:v>
                </c:pt>
                <c:pt idx="10">
                  <c:v>Tulkarm</c:v>
                </c:pt>
              </c:strCache>
            </c:strRef>
          </c:cat>
          <c:val>
            <c:numRef>
              <c:f>Sheet1!$B$2:$L$2</c:f>
              <c:numCache>
                <c:formatCode>General</c:formatCode>
                <c:ptCount val="11"/>
                <c:pt idx="0">
                  <c:v>26</c:v>
                </c:pt>
                <c:pt idx="1">
                  <c:v>24</c:v>
                </c:pt>
                <c:pt idx="2">
                  <c:v>19</c:v>
                </c:pt>
                <c:pt idx="3">
                  <c:v>17</c:v>
                </c:pt>
                <c:pt idx="4">
                  <c:v>13</c:v>
                </c:pt>
                <c:pt idx="5">
                  <c:v>12</c:v>
                </c:pt>
                <c:pt idx="6">
                  <c:v>11</c:v>
                </c:pt>
                <c:pt idx="7">
                  <c:v>7</c:v>
                </c:pt>
                <c:pt idx="8">
                  <c:v>7</c:v>
                </c:pt>
                <c:pt idx="9">
                  <c:v>5</c:v>
                </c:pt>
                <c:pt idx="10">
                  <c:v>3</c:v>
                </c:pt>
              </c:numCache>
            </c:numRef>
          </c:val>
        </c:ser>
        <c:dLbls>
          <c:showVal val="1"/>
        </c:dLbls>
        <c:axId val="69967232"/>
        <c:axId val="70065152"/>
      </c:barChart>
      <c:catAx>
        <c:axId val="69967232"/>
        <c:scaling>
          <c:orientation val="minMax"/>
        </c:scaling>
        <c:axPos val="l"/>
        <c:title>
          <c:tx>
            <c:rich>
              <a:bodyPr rot="0" vert="horz"/>
              <a:lstStyle/>
              <a:p>
                <a:pPr algn="ctr">
                  <a:defRPr sz="874" b="1" i="0" u="none" strike="noStrike" baseline="0">
                    <a:solidFill>
                      <a:srgbClr val="000000"/>
                    </a:solidFill>
                    <a:latin typeface="Arial"/>
                    <a:ea typeface="Arial"/>
                    <a:cs typeface="Arial"/>
                  </a:defRPr>
                </a:pPr>
                <a:r>
                  <a:rPr lang="en-US"/>
                  <a:t>Number  </a:t>
                </a:r>
              </a:p>
            </c:rich>
          </c:tx>
          <c:layout>
            <c:manualLayout>
              <c:xMode val="edge"/>
              <c:yMode val="edge"/>
              <c:x val="0.51422753842864088"/>
              <c:y val="0.89206739838955251"/>
            </c:manualLayout>
          </c:layout>
          <c:spPr>
            <a:noFill/>
            <a:ln w="25335">
              <a:noFill/>
            </a:ln>
          </c:spPr>
        </c:title>
        <c:numFmt formatCode="General" sourceLinked="1"/>
        <c:tickLblPos val="nextTo"/>
        <c:spPr>
          <a:ln w="3166">
            <a:solidFill>
              <a:srgbClr val="000000"/>
            </a:solidFill>
            <a:prstDash val="solid"/>
          </a:ln>
        </c:spPr>
        <c:txPr>
          <a:bodyPr rot="0" vert="horz"/>
          <a:lstStyle/>
          <a:p>
            <a:pPr>
              <a:defRPr sz="874" b="0" i="0" u="none" strike="noStrike" baseline="0">
                <a:solidFill>
                  <a:srgbClr val="000000"/>
                </a:solidFill>
                <a:latin typeface="Arial"/>
                <a:ea typeface="Arial"/>
                <a:cs typeface="Arial"/>
              </a:defRPr>
            </a:pPr>
            <a:endParaRPr lang="ar-SA"/>
          </a:p>
        </c:txPr>
        <c:crossAx val="70065152"/>
        <c:crosses val="autoZero"/>
        <c:auto val="1"/>
        <c:lblAlgn val="ctr"/>
        <c:lblOffset val="0"/>
        <c:tickLblSkip val="1"/>
        <c:tickMarkSkip val="1"/>
      </c:catAx>
      <c:valAx>
        <c:axId val="70065152"/>
        <c:scaling>
          <c:orientation val="minMax"/>
          <c:max val="30"/>
          <c:min val="0"/>
        </c:scaling>
        <c:axPos val="b"/>
        <c:numFmt formatCode="General" sourceLinked="1"/>
        <c:tickLblPos val="nextTo"/>
        <c:spPr>
          <a:ln w="3166">
            <a:solidFill>
              <a:srgbClr val="000000"/>
            </a:solidFill>
            <a:prstDash val="solid"/>
          </a:ln>
        </c:spPr>
        <c:txPr>
          <a:bodyPr rot="0" vert="horz"/>
          <a:lstStyle/>
          <a:p>
            <a:pPr>
              <a:defRPr sz="874" b="0" i="0" u="none" strike="noStrike" baseline="0">
                <a:solidFill>
                  <a:srgbClr val="000000"/>
                </a:solidFill>
                <a:latin typeface="Arial"/>
                <a:ea typeface="Arial"/>
                <a:cs typeface="Arial"/>
              </a:defRPr>
            </a:pPr>
            <a:endParaRPr lang="ar-SA"/>
          </a:p>
        </c:txPr>
        <c:crossAx val="69967232"/>
        <c:crosses val="autoZero"/>
        <c:crossBetween val="between"/>
        <c:majorUnit val="5"/>
        <c:minorUnit val="1"/>
      </c:valAx>
      <c:spPr>
        <a:noFill/>
        <a:ln w="25335">
          <a:noFill/>
        </a:ln>
      </c:spPr>
    </c:plotArea>
    <c:plotVisOnly val="1"/>
    <c:dispBlanksAs val="gap"/>
  </c:chart>
  <c:spPr>
    <a:noFill/>
    <a:ln w="3166">
      <a:no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23618090452261306"/>
          <c:y val="3.6303630363036306E-2"/>
          <c:w val="0.73366834170854267"/>
          <c:h val="0.77308475719455172"/>
        </c:manualLayout>
      </c:layout>
      <c:barChart>
        <c:barDir val="bar"/>
        <c:grouping val="clustered"/>
        <c:ser>
          <c:idx val="0"/>
          <c:order val="0"/>
          <c:tx>
            <c:strRef>
              <c:f>Sheet1!$A$2</c:f>
              <c:strCache>
                <c:ptCount val="1"/>
              </c:strCache>
            </c:strRef>
          </c:tx>
          <c:spPr>
            <a:solidFill>
              <a:srgbClr val="9999FF"/>
            </a:solidFill>
            <a:ln w="12649">
              <a:solidFill>
                <a:srgbClr val="000000"/>
              </a:solidFill>
              <a:prstDash val="solid"/>
            </a:ln>
          </c:spPr>
          <c:dLbls>
            <c:dLbl>
              <c:idx val="0"/>
              <c:layout>
                <c:manualLayout>
                  <c:x val="-2.459363822442415E-3"/>
                  <c:y val="1.423851033083894E-3"/>
                </c:manualLayout>
              </c:layout>
              <c:dLblPos val="outEnd"/>
              <c:showVal val="1"/>
            </c:dLbl>
            <c:spPr>
              <a:noFill/>
              <a:ln w="25299">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Sheet1!$B$1:$L$1</c:f>
              <c:strCache>
                <c:ptCount val="11"/>
                <c:pt idx="0">
                  <c:v>Jerusalem</c:v>
                </c:pt>
                <c:pt idx="1">
                  <c:v>Ramallah &amp; Al-Bireh</c:v>
                </c:pt>
                <c:pt idx="2">
                  <c:v>Bethlehem</c:v>
                </c:pt>
                <c:pt idx="3">
                  <c:v>Salfit</c:v>
                </c:pt>
                <c:pt idx="4">
                  <c:v>Qalqiliya</c:v>
                </c:pt>
                <c:pt idx="5">
                  <c:v>Hebron</c:v>
                </c:pt>
                <c:pt idx="6">
                  <c:v>Nablus</c:v>
                </c:pt>
                <c:pt idx="7">
                  <c:v>Jericho &amp; Al- Aghwar</c:v>
                </c:pt>
                <c:pt idx="8">
                  <c:v>Tulkarm</c:v>
                </c:pt>
                <c:pt idx="9">
                  <c:v>Jenin</c:v>
                </c:pt>
                <c:pt idx="10">
                  <c:v>Tubas</c:v>
                </c:pt>
              </c:strCache>
            </c:strRef>
          </c:cat>
          <c:val>
            <c:numRef>
              <c:f>Sheet1!$B$2:$L$2</c:f>
              <c:numCache>
                <c:formatCode>General</c:formatCode>
                <c:ptCount val="11"/>
                <c:pt idx="0">
                  <c:v>262.5</c:v>
                </c:pt>
                <c:pt idx="1">
                  <c:v>96.4</c:v>
                </c:pt>
                <c:pt idx="2">
                  <c:v>56.2</c:v>
                </c:pt>
                <c:pt idx="3">
                  <c:v>33.200000000000003</c:v>
                </c:pt>
                <c:pt idx="4">
                  <c:v>29.4</c:v>
                </c:pt>
                <c:pt idx="5">
                  <c:v>16.5</c:v>
                </c:pt>
                <c:pt idx="6">
                  <c:v>11.9</c:v>
                </c:pt>
                <c:pt idx="7">
                  <c:v>6.1</c:v>
                </c:pt>
                <c:pt idx="8">
                  <c:v>3.1</c:v>
                </c:pt>
                <c:pt idx="9">
                  <c:v>2.2999999999999998</c:v>
                </c:pt>
                <c:pt idx="10">
                  <c:v>1.5</c:v>
                </c:pt>
              </c:numCache>
            </c:numRef>
          </c:val>
        </c:ser>
        <c:dLbls>
          <c:showVal val="1"/>
        </c:dLbls>
        <c:axId val="74645888"/>
        <c:axId val="74687616"/>
      </c:barChart>
      <c:catAx>
        <c:axId val="74645888"/>
        <c:scaling>
          <c:orientation val="minMax"/>
        </c:scaling>
        <c:axPos val="l"/>
        <c:numFmt formatCode="General" sourceLinked="1"/>
        <c:tickLblPos val="nextTo"/>
        <c:spPr>
          <a:ln w="3162">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74687616"/>
        <c:crossesAt val="0"/>
        <c:auto val="1"/>
        <c:lblAlgn val="ctr"/>
        <c:lblOffset val="100"/>
        <c:tickLblSkip val="1"/>
        <c:tickMarkSkip val="2"/>
      </c:catAx>
      <c:valAx>
        <c:axId val="74687616"/>
        <c:scaling>
          <c:orientation val="minMax"/>
          <c:max val="280"/>
          <c:min val="0"/>
        </c:scaling>
        <c:axPos val="b"/>
        <c:numFmt formatCode="General" sourceLinked="1"/>
        <c:tickLblPos val="nextTo"/>
        <c:spPr>
          <a:ln w="3162">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74645888"/>
        <c:crosses val="autoZero"/>
        <c:crossBetween val="between"/>
        <c:majorUnit val="50"/>
        <c:minorUnit val="10"/>
      </c:valAx>
      <c:spPr>
        <a:solidFill>
          <a:srgbClr val="FFFFFF"/>
        </a:solidFill>
        <a:ln w="25299">
          <a:noFill/>
        </a:ln>
      </c:spPr>
    </c:plotArea>
    <c:plotVisOnly val="1"/>
    <c:dispBlanksAs val="gap"/>
  </c:chart>
  <c:spPr>
    <a:noFill/>
    <a:ln w="3162">
      <a:noFill/>
      <a:prstDash val="solid"/>
    </a:ln>
  </c:spPr>
  <c:txPr>
    <a:bodyPr/>
    <a:lstStyle/>
    <a:p>
      <a:pPr>
        <a:defRPr sz="875"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manualLayout>
          <c:layoutTarget val="inner"/>
          <c:xMode val="edge"/>
          <c:yMode val="edge"/>
          <c:x val="0.14037546991042221"/>
          <c:y val="6.2351523472218714E-2"/>
          <c:w val="0.80650684931506456"/>
          <c:h val="0.68888888888889321"/>
        </c:manualLayout>
      </c:layout>
      <c:lineChart>
        <c:grouping val="standard"/>
        <c:ser>
          <c:idx val="1"/>
          <c:order val="0"/>
          <c:tx>
            <c:strRef>
              <c:f>Sheet1!$A$2</c:f>
              <c:strCache>
                <c:ptCount val="1"/>
                <c:pt idx="0">
                  <c:v>Number (Thousands)</c:v>
                </c:pt>
              </c:strCache>
            </c:strRef>
          </c:tx>
          <c:marker>
            <c:symbol val="none"/>
          </c:marker>
          <c:cat>
            <c:numRef>
              <c:f>Sheet1!$B$1:$X$1</c:f>
              <c:numCache>
                <c:formatCode>General</c:formatCode>
                <c:ptCount val="23"/>
                <c:pt idx="0">
                  <c:v>1988</c:v>
                </c:pt>
                <c:pt idx="1">
                  <c:v>1989</c:v>
                </c:pt>
                <c:pt idx="2">
                  <c:v>1990</c:v>
                </c:pt>
                <c:pt idx="3">
                  <c:v>1991</c:v>
                </c:pt>
                <c:pt idx="4">
                  <c:v>1992</c:v>
                </c:pt>
                <c:pt idx="5">
                  <c:v>1993</c:v>
                </c:pt>
                <c:pt idx="6">
                  <c:v>1994</c:v>
                </c:pt>
                <c:pt idx="7">
                  <c:v>1995</c:v>
                </c:pt>
                <c:pt idx="8">
                  <c:v>1996</c:v>
                </c:pt>
                <c:pt idx="9">
                  <c:v>1997</c:v>
                </c:pt>
                <c:pt idx="10">
                  <c:v>1998</c:v>
                </c:pt>
                <c:pt idx="11">
                  <c:v>1999</c:v>
                </c:pt>
                <c:pt idx="12">
                  <c:v>2000</c:v>
                </c:pt>
                <c:pt idx="13">
                  <c:v>2001</c:v>
                </c:pt>
                <c:pt idx="14">
                  <c:v>2002</c:v>
                </c:pt>
                <c:pt idx="15">
                  <c:v>2003</c:v>
                </c:pt>
                <c:pt idx="16">
                  <c:v>2004</c:v>
                </c:pt>
                <c:pt idx="17">
                  <c:v>2005</c:v>
                </c:pt>
                <c:pt idx="18">
                  <c:v>2006</c:v>
                </c:pt>
                <c:pt idx="19">
                  <c:v>2007</c:v>
                </c:pt>
                <c:pt idx="20">
                  <c:v>2008</c:v>
                </c:pt>
                <c:pt idx="21">
                  <c:v>2009</c:v>
                </c:pt>
                <c:pt idx="22">
                  <c:v>2010</c:v>
                </c:pt>
              </c:numCache>
            </c:numRef>
          </c:cat>
          <c:val>
            <c:numRef>
              <c:f>Sheet1!$B$2:$X$2</c:f>
              <c:numCache>
                <c:formatCode>General</c:formatCode>
                <c:ptCount val="23"/>
                <c:pt idx="0">
                  <c:v>190.9</c:v>
                </c:pt>
                <c:pt idx="1">
                  <c:v>202.9</c:v>
                </c:pt>
                <c:pt idx="2">
                  <c:v>221.3</c:v>
                </c:pt>
                <c:pt idx="3">
                  <c:v>238.1</c:v>
                </c:pt>
                <c:pt idx="4">
                  <c:v>252.5</c:v>
                </c:pt>
                <c:pt idx="5">
                  <c:v>268.7</c:v>
                </c:pt>
                <c:pt idx="6">
                  <c:v>285.8</c:v>
                </c:pt>
                <c:pt idx="7">
                  <c:v>296.89999999999969</c:v>
                </c:pt>
                <c:pt idx="8">
                  <c:v>313.60000000000002</c:v>
                </c:pt>
                <c:pt idx="9">
                  <c:v>326.10000000000002</c:v>
                </c:pt>
                <c:pt idx="10">
                  <c:v>341.9</c:v>
                </c:pt>
                <c:pt idx="11">
                  <c:v>361.1</c:v>
                </c:pt>
                <c:pt idx="12">
                  <c:v>379.1</c:v>
                </c:pt>
                <c:pt idx="13">
                  <c:v>391.1</c:v>
                </c:pt>
                <c:pt idx="14">
                  <c:v>405.1</c:v>
                </c:pt>
                <c:pt idx="15">
                  <c:v>419.4</c:v>
                </c:pt>
                <c:pt idx="16">
                  <c:v>434.6</c:v>
                </c:pt>
                <c:pt idx="17">
                  <c:v>448.4</c:v>
                </c:pt>
                <c:pt idx="18" formatCode="0.0;[Red]0.0">
                  <c:v>465.4</c:v>
                </c:pt>
                <c:pt idx="19">
                  <c:v>482.8</c:v>
                </c:pt>
                <c:pt idx="20">
                  <c:v>501.4</c:v>
                </c:pt>
                <c:pt idx="21">
                  <c:v>511.7</c:v>
                </c:pt>
                <c:pt idx="22">
                  <c:v>518.9</c:v>
                </c:pt>
              </c:numCache>
            </c:numRef>
          </c:val>
        </c:ser>
        <c:marker val="1"/>
        <c:axId val="97381376"/>
        <c:axId val="106739200"/>
      </c:lineChart>
      <c:catAx>
        <c:axId val="97381376"/>
        <c:scaling>
          <c:orientation val="minMax"/>
        </c:scaling>
        <c:axPos val="b"/>
        <c:title>
          <c:tx>
            <c:rich>
              <a:bodyPr/>
              <a:lstStyle/>
              <a:p>
                <a:pPr>
                  <a:defRPr/>
                </a:pPr>
                <a:r>
                  <a:rPr lang="en-US"/>
                  <a:t>Year</a:t>
                </a:r>
              </a:p>
            </c:rich>
          </c:tx>
          <c:layout>
            <c:manualLayout>
              <c:xMode val="edge"/>
              <c:yMode val="edge"/>
              <c:x val="0.48248135982446744"/>
              <c:y val="0.92642308897125358"/>
            </c:manualLayout>
          </c:layout>
        </c:title>
        <c:numFmt formatCode="General" sourceLinked="1"/>
        <c:tickLblPos val="nextTo"/>
        <c:txPr>
          <a:bodyPr rot="-5400000" vert="horz"/>
          <a:lstStyle/>
          <a:p>
            <a:pPr>
              <a:defRPr/>
            </a:pPr>
            <a:endParaRPr lang="ar-SA"/>
          </a:p>
        </c:txPr>
        <c:crossAx val="106739200"/>
        <c:crossesAt val="0"/>
        <c:auto val="1"/>
        <c:lblAlgn val="ctr"/>
        <c:lblOffset val="100"/>
        <c:tickLblSkip val="1"/>
        <c:tickMarkSkip val="1"/>
      </c:catAx>
      <c:valAx>
        <c:axId val="106739200"/>
        <c:scaling>
          <c:orientation val="minMax"/>
          <c:max val="550"/>
          <c:min val="150"/>
        </c:scaling>
        <c:axPos val="l"/>
        <c:numFmt formatCode="General" sourceLinked="1"/>
        <c:tickLblPos val="nextTo"/>
        <c:txPr>
          <a:bodyPr rot="0" vert="horz"/>
          <a:lstStyle/>
          <a:p>
            <a:pPr>
              <a:defRPr/>
            </a:pPr>
            <a:endParaRPr lang="ar-SA"/>
          </a:p>
        </c:txPr>
        <c:crossAx val="97381376"/>
        <c:crosses val="autoZero"/>
        <c:crossBetween val="midCat"/>
        <c:majorUnit val="50"/>
        <c:minorUnit val="10"/>
      </c:valAx>
    </c:plotArea>
    <c:plotVisOnly val="1"/>
    <c:dispBlanksAs val="gap"/>
  </c:chart>
  <c:spPr>
    <a:noFill/>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93F0A-2D02-4C49-9D37-EFBACCDB4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3619</Words>
  <Characters>20632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texte</vt:lpstr>
    </vt:vector>
  </TitlesOfParts>
  <Company>pcbs</Company>
  <LinksUpToDate>false</LinksUpToDate>
  <CharactersWithSpaces>24203</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8257645</vt:i4>
      </vt:variant>
      <vt:variant>
        <vt:i4>0</vt:i4>
      </vt:variant>
      <vt:variant>
        <vt:i4>0</vt:i4>
      </vt:variant>
      <vt:variant>
        <vt:i4>5</vt:i4>
      </vt:variant>
      <vt:variant>
        <vt:lpwstr>C:\Documents and Settings\mmasri\Local Settings\Temporary Internet Files\Content.Outlook\8P32TXFD\diwan@pcbs.gov.ps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texte</dc:title>
  <dc:subject/>
  <dc:creator>mmasri</dc:creator>
  <cp:keywords/>
  <dc:description/>
  <cp:lastModifiedBy>mmasri</cp:lastModifiedBy>
  <cp:revision>11</cp:revision>
  <cp:lastPrinted>2011-08-02T10:42:00Z</cp:lastPrinted>
  <dcterms:created xsi:type="dcterms:W3CDTF">2011-07-31T09:11:00Z</dcterms:created>
  <dcterms:modified xsi:type="dcterms:W3CDTF">2011-08-02T10:46:00Z</dcterms:modified>
</cp:coreProperties>
</file>